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97C01" w14:paraId="5E784783" w14:textId="77777777" w:rsidTr="00397C01">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97C01" w14:paraId="0FBC02AA"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397C01" w14:paraId="2272EC38" w14:textId="77777777">
                    <w:trPr>
                      <w:tblCellSpacing w:w="0" w:type="dxa"/>
                      <w:jc w:val="center"/>
                    </w:trPr>
                    <w:tc>
                      <w:tcPr>
                        <w:tcW w:w="3000" w:type="dxa"/>
                        <w:hideMark/>
                      </w:tcPr>
                      <w:p w14:paraId="7B4508E3" w14:textId="4D2E2D2F" w:rsidR="00397C01" w:rsidRDefault="00397C01" w:rsidP="00397C01">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2DDCEEA5" w14:textId="77777777" w:rsidR="00397C01" w:rsidRDefault="00397C01">
                  <w:pPr>
                    <w:jc w:val="center"/>
                    <w:rPr>
                      <w:rFonts w:ascii="Times New Roman" w:eastAsia="Times New Roman" w:hAnsi="Times New Roman" w:cs="Times New Roman"/>
                      <w:sz w:val="20"/>
                      <w:szCs w:val="20"/>
                    </w:rPr>
                  </w:pPr>
                </w:p>
              </w:tc>
            </w:tr>
            <w:tr w:rsidR="00397C01" w14:paraId="009CA845"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397C01" w14:paraId="4303E93E"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BC7974B" w14:textId="59D24C2A" w:rsidR="00397C01" w:rsidRDefault="00397C01">
                        <w:pPr>
                          <w:jc w:val="center"/>
                          <w:rPr>
                            <w:rFonts w:eastAsia="Times New Roman"/>
                          </w:rPr>
                        </w:pPr>
                        <w:r>
                          <w:rPr>
                            <w:rFonts w:eastAsia="Times New Roman"/>
                            <w:noProof/>
                          </w:rPr>
                          <w:drawing>
                            <wp:inline distT="0" distB="0" distL="0" distR="0" wp14:anchorId="47D0DBEF" wp14:editId="5F79AC42">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397C01" w14:paraId="45572E1A" w14:textId="77777777">
                    <w:trPr>
                      <w:tblCellSpacing w:w="0" w:type="dxa"/>
                    </w:trPr>
                    <w:tc>
                      <w:tcPr>
                        <w:tcW w:w="0" w:type="auto"/>
                        <w:vMerge/>
                        <w:tcBorders>
                          <w:top w:val="nil"/>
                          <w:left w:val="nil"/>
                          <w:bottom w:val="single" w:sz="2" w:space="0" w:color="FFFFFF"/>
                          <w:right w:val="nil"/>
                        </w:tcBorders>
                        <w:vAlign w:val="center"/>
                        <w:hideMark/>
                      </w:tcPr>
                      <w:p w14:paraId="0817D6EE" w14:textId="77777777" w:rsidR="00397C01" w:rsidRDefault="00397C01">
                        <w:pPr>
                          <w:rPr>
                            <w:rFonts w:eastAsia="Times New Roman"/>
                          </w:rPr>
                        </w:pPr>
                      </w:p>
                    </w:tc>
                    <w:tc>
                      <w:tcPr>
                        <w:tcW w:w="3450" w:type="dxa"/>
                        <w:tcBorders>
                          <w:top w:val="nil"/>
                          <w:left w:val="nil"/>
                          <w:bottom w:val="nil"/>
                          <w:right w:val="nil"/>
                        </w:tcBorders>
                        <w:vAlign w:val="center"/>
                        <w:hideMark/>
                      </w:tcPr>
                      <w:p w14:paraId="159D0F0D" w14:textId="77777777" w:rsidR="00397C01" w:rsidRDefault="00397C01">
                        <w:pPr>
                          <w:pStyle w:val="Heading1"/>
                          <w:rPr>
                            <w:rFonts w:eastAsia="Times New Roman"/>
                          </w:rPr>
                        </w:pPr>
                        <w:r>
                          <w:rPr>
                            <w:rFonts w:eastAsia="Times New Roman"/>
                          </w:rPr>
                          <w:t>Daily Update </w:t>
                        </w:r>
                      </w:p>
                    </w:tc>
                  </w:tr>
                  <w:tr w:rsidR="00397C01" w14:paraId="7DC4FA2A" w14:textId="77777777">
                    <w:trPr>
                      <w:tblCellSpacing w:w="0" w:type="dxa"/>
                    </w:trPr>
                    <w:tc>
                      <w:tcPr>
                        <w:tcW w:w="0" w:type="auto"/>
                        <w:vMerge/>
                        <w:tcBorders>
                          <w:top w:val="nil"/>
                          <w:left w:val="nil"/>
                          <w:bottom w:val="single" w:sz="2" w:space="0" w:color="FFFFFF"/>
                          <w:right w:val="nil"/>
                        </w:tcBorders>
                        <w:vAlign w:val="center"/>
                        <w:hideMark/>
                      </w:tcPr>
                      <w:p w14:paraId="3C90871E" w14:textId="77777777" w:rsidR="00397C01" w:rsidRDefault="00397C01">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0F9C646A" w14:textId="77777777" w:rsidR="00397C01" w:rsidRDefault="00397C01">
                        <w:pPr>
                          <w:pStyle w:val="Heading2"/>
                          <w:rPr>
                            <w:rFonts w:eastAsia="Times New Roman"/>
                            <w:color w:val="93378A"/>
                          </w:rPr>
                        </w:pPr>
                        <w:r>
                          <w:rPr>
                            <w:rFonts w:eastAsia="Times New Roman"/>
                            <w:color w:val="93378A"/>
                          </w:rPr>
                          <w:t>Thursday 17th June 2021</w:t>
                        </w:r>
                      </w:p>
                    </w:tc>
                  </w:tr>
                </w:tbl>
                <w:p w14:paraId="08BE1E4A" w14:textId="77777777" w:rsidR="00397C01" w:rsidRDefault="00397C01">
                  <w:pPr>
                    <w:rPr>
                      <w:rFonts w:ascii="Times New Roman" w:eastAsia="Times New Roman" w:hAnsi="Times New Roman" w:cs="Times New Roman"/>
                      <w:sz w:val="20"/>
                      <w:szCs w:val="20"/>
                    </w:rPr>
                  </w:pPr>
                </w:p>
              </w:tc>
            </w:tr>
            <w:tr w:rsidR="00397C01" w14:paraId="59FE44EB" w14:textId="77777777">
              <w:tblPrEx>
                <w:shd w:val="clear" w:color="auto" w:fill="auto"/>
              </w:tblPrEx>
              <w:trPr>
                <w:tblCellSpacing w:w="0" w:type="dxa"/>
                <w:jc w:val="center"/>
              </w:trPr>
              <w:tc>
                <w:tcPr>
                  <w:tcW w:w="9000" w:type="dxa"/>
                  <w:hideMark/>
                </w:tcPr>
                <w:p w14:paraId="14F01910" w14:textId="322C7360" w:rsidR="00397C01" w:rsidRDefault="00397C01">
                  <w:pPr>
                    <w:rPr>
                      <w:rFonts w:eastAsia="Times New Roman"/>
                    </w:rPr>
                  </w:pPr>
                  <w:r>
                    <w:rPr>
                      <w:rFonts w:eastAsia="Times New Roman"/>
                      <w:noProof/>
                    </w:rPr>
                    <w:drawing>
                      <wp:inline distT="0" distB="0" distL="0" distR="0" wp14:anchorId="329242E1" wp14:editId="5CF806DF">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397C01" w14:paraId="06F04800"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397C01" w14:paraId="1094D2BB" w14:textId="77777777">
                    <w:trPr>
                      <w:trHeight w:val="150"/>
                      <w:tblCellSpacing w:w="15" w:type="dxa"/>
                      <w:jc w:val="center"/>
                    </w:trPr>
                    <w:tc>
                      <w:tcPr>
                        <w:tcW w:w="150" w:type="dxa"/>
                        <w:vAlign w:val="center"/>
                        <w:hideMark/>
                      </w:tcPr>
                      <w:p w14:paraId="0AA6C301" w14:textId="77777777" w:rsidR="00397C01" w:rsidRDefault="00397C01">
                        <w:pPr>
                          <w:rPr>
                            <w:rFonts w:eastAsia="Times New Roman"/>
                          </w:rPr>
                        </w:pPr>
                      </w:p>
                    </w:tc>
                    <w:tc>
                      <w:tcPr>
                        <w:tcW w:w="8700" w:type="dxa"/>
                        <w:vAlign w:val="center"/>
                        <w:hideMark/>
                      </w:tcPr>
                      <w:p w14:paraId="3A93AE11" w14:textId="77777777" w:rsidR="00397C01" w:rsidRDefault="00397C01">
                        <w:pPr>
                          <w:rPr>
                            <w:rFonts w:ascii="Times New Roman" w:eastAsia="Times New Roman" w:hAnsi="Times New Roman" w:cs="Times New Roman"/>
                            <w:sz w:val="20"/>
                            <w:szCs w:val="20"/>
                          </w:rPr>
                        </w:pPr>
                      </w:p>
                    </w:tc>
                    <w:tc>
                      <w:tcPr>
                        <w:tcW w:w="150" w:type="dxa"/>
                        <w:vAlign w:val="center"/>
                        <w:hideMark/>
                      </w:tcPr>
                      <w:p w14:paraId="4E899E90" w14:textId="77777777" w:rsidR="00397C01" w:rsidRDefault="00397C01">
                        <w:pPr>
                          <w:rPr>
                            <w:rFonts w:ascii="Times New Roman" w:eastAsia="Times New Roman" w:hAnsi="Times New Roman" w:cs="Times New Roman"/>
                            <w:sz w:val="20"/>
                            <w:szCs w:val="20"/>
                          </w:rPr>
                        </w:pPr>
                      </w:p>
                    </w:tc>
                  </w:tr>
                  <w:tr w:rsidR="00397C01" w14:paraId="2E0E4E95" w14:textId="77777777">
                    <w:trPr>
                      <w:tblCellSpacing w:w="15" w:type="dxa"/>
                      <w:jc w:val="center"/>
                    </w:trPr>
                    <w:tc>
                      <w:tcPr>
                        <w:tcW w:w="150" w:type="dxa"/>
                        <w:vAlign w:val="center"/>
                        <w:hideMark/>
                      </w:tcPr>
                      <w:p w14:paraId="3865104C" w14:textId="77777777" w:rsidR="00397C01" w:rsidRDefault="00397C01">
                        <w:pPr>
                          <w:rPr>
                            <w:rFonts w:ascii="Times New Roman" w:eastAsia="Times New Roman" w:hAnsi="Times New Roman" w:cs="Times New Roman"/>
                            <w:sz w:val="20"/>
                            <w:szCs w:val="20"/>
                          </w:rPr>
                        </w:pPr>
                      </w:p>
                    </w:tc>
                    <w:tc>
                      <w:tcPr>
                        <w:tcW w:w="8700" w:type="dxa"/>
                        <w:vAlign w:val="center"/>
                        <w:hideMark/>
                      </w:tcPr>
                      <w:p w14:paraId="182F0E93" w14:textId="77777777" w:rsidR="00397C01" w:rsidRDefault="00397C01">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604EE482" w14:textId="77777777" w:rsidR="00397C01" w:rsidRDefault="00397C01">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301C9086">
                            <v:rect id="_x0000_i1032" style="width:468pt;height:1.5pt" o:hralign="center" o:hrstd="t" o:hr="t" fillcolor="#a0a0a0" stroked="f"/>
                          </w:pict>
                        </w:r>
                      </w:p>
                      <w:p w14:paraId="4DA13787" w14:textId="77777777" w:rsidR="00397C01" w:rsidRDefault="00397C01">
                        <w:pPr>
                          <w:pStyle w:val="Heading2"/>
                          <w:rPr>
                            <w:rFonts w:eastAsia="Times New Roman"/>
                          </w:rPr>
                        </w:pPr>
                        <w:r>
                          <w:rPr>
                            <w:rFonts w:eastAsia="Times New Roman"/>
                          </w:rPr>
                          <w:t>In today's update: Research supports key role for pharmacies in C-19 vacs; GP CPCS payment deadline; MHRA Class 2 recall for Irbesartan and Losartan containing products; Medicine Supply Notification.</w:t>
                        </w:r>
                      </w:p>
                      <w:p w14:paraId="3CDC09E3" w14:textId="77777777" w:rsidR="00397C01" w:rsidRDefault="00397C01">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2E135E7">
                            <v:rect id="_x0000_i1033" style="width:468pt;height:1.5pt" o:hralign="center" o:hrstd="t" o:hr="t" fillcolor="#a0a0a0" stroked="f"/>
                          </w:pict>
                        </w:r>
                      </w:p>
                      <w:p w14:paraId="60742D1E" w14:textId="77777777" w:rsidR="00397C01" w:rsidRDefault="00397C01">
                        <w:pPr>
                          <w:pStyle w:val="Heading3"/>
                          <w:rPr>
                            <w:rFonts w:eastAsia="Times New Roman"/>
                          </w:rPr>
                        </w:pPr>
                        <w:r>
                          <w:rPr>
                            <w:rFonts w:eastAsia="Times New Roman"/>
                          </w:rPr>
                          <w:t xml:space="preserve">Research finds pharmacies can play a ‘key clinical role’ in COVID-19 </w:t>
                        </w:r>
                        <w:proofErr w:type="gramStart"/>
                        <w:r>
                          <w:rPr>
                            <w:rFonts w:eastAsia="Times New Roman"/>
                          </w:rPr>
                          <w:t>vaccinations</w:t>
                        </w:r>
                        <w:proofErr w:type="gramEnd"/>
                      </w:p>
                      <w:p w14:paraId="63F3C810" w14:textId="7F884481" w:rsidR="00397C01" w:rsidRDefault="00397C01" w:rsidP="00397C0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New research published in BMJ Open shows that community pharmacists, as a ‘skilled clinical workforce', could perform a key role in future COVID-19 vaccination programmes. </w:t>
                        </w:r>
                      </w:p>
                      <w:p w14:paraId="1A4F0ACC" w14:textId="77777777" w:rsidR="00397C01" w:rsidRDefault="00397C01" w:rsidP="00397C01">
                        <w:pPr>
                          <w:pStyle w:val="NormalWeb"/>
                          <w:spacing w:line="264" w:lineRule="auto"/>
                          <w:rPr>
                            <w:rFonts w:ascii="Tahoma" w:hAnsi="Tahoma" w:cs="Tahoma"/>
                            <w:color w:val="303030"/>
                            <w:sz w:val="21"/>
                            <w:szCs w:val="21"/>
                          </w:rPr>
                        </w:pPr>
                        <w:r>
                          <w:rPr>
                            <w:rFonts w:ascii="Tahoma" w:hAnsi="Tahoma" w:cs="Tahoma"/>
                            <w:color w:val="303030"/>
                            <w:sz w:val="21"/>
                            <w:szCs w:val="21"/>
                          </w:rPr>
                          <w:t>A study led by Aston University found that because of the convenience of high street pharmacies and the fact they are trusted by those they serve, community pharmacy is ideally suited to addressing vaccine hesitancy in ‘hard to reach' communities.</w:t>
                        </w:r>
                      </w:p>
                      <w:p w14:paraId="655DE6AF" w14:textId="77777777" w:rsidR="00397C01" w:rsidRDefault="00397C01" w:rsidP="00397C01">
                        <w:pPr>
                          <w:pStyle w:val="NormalWeb"/>
                          <w:spacing w:line="264" w:lineRule="auto"/>
                          <w:rPr>
                            <w:rFonts w:ascii="Tahoma" w:hAnsi="Tahoma" w:cs="Tahoma"/>
                            <w:color w:val="303030"/>
                            <w:sz w:val="21"/>
                            <w:szCs w:val="21"/>
                          </w:rPr>
                        </w:pPr>
                        <w:r>
                          <w:rPr>
                            <w:rFonts w:ascii="Tahoma" w:hAnsi="Tahoma" w:cs="Tahoma"/>
                            <w:color w:val="303030"/>
                            <w:sz w:val="21"/>
                            <w:szCs w:val="21"/>
                          </w:rPr>
                          <w:t>The report makes a series of recommendations, including calling on decision-makers to endorse and provide support for a clearly defined public health role for community pharmacy.</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Learn more about the findings</w:t>
                          </w:r>
                        </w:hyperlink>
                      </w:p>
                      <w:p w14:paraId="5E67B8B7" w14:textId="77777777" w:rsidR="00397C01" w:rsidRDefault="00397C01">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4DDB4DD">
                            <v:rect id="_x0000_i1034" style="width:468pt;height:1.5pt" o:hralign="center" o:hrstd="t" o:hr="t" fillcolor="#a0a0a0" stroked="f"/>
                          </w:pict>
                        </w:r>
                      </w:p>
                      <w:p w14:paraId="4C2628F5" w14:textId="77777777" w:rsidR="00397C01" w:rsidRDefault="00397C01">
                        <w:pPr>
                          <w:pStyle w:val="Heading3"/>
                          <w:rPr>
                            <w:rFonts w:eastAsia="Times New Roman"/>
                          </w:rPr>
                        </w:pPr>
                        <w:r>
                          <w:rPr>
                            <w:rFonts w:eastAsia="Times New Roman"/>
                          </w:rPr>
                          <w:t xml:space="preserve">Deadline approaching for claiming GP CPCS engagement and set up </w:t>
                        </w:r>
                        <w:proofErr w:type="gramStart"/>
                        <w:r>
                          <w:rPr>
                            <w:rFonts w:eastAsia="Times New Roman"/>
                          </w:rPr>
                          <w:t>payment</w:t>
                        </w:r>
                        <w:proofErr w:type="gramEnd"/>
                      </w:p>
                      <w:p w14:paraId="6EFE2F18" w14:textId="29B9004D" w:rsidR="00397C01" w:rsidRDefault="00397C01" w:rsidP="00397C0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Community pharmacy contractors are reminded that </w:t>
                        </w:r>
                        <w:proofErr w:type="gramStart"/>
                        <w:r>
                          <w:rPr>
                            <w:rFonts w:ascii="Tahoma" w:eastAsia="Times New Roman" w:hAnsi="Tahoma" w:cs="Tahoma"/>
                            <w:color w:val="303030"/>
                            <w:sz w:val="21"/>
                            <w:szCs w:val="21"/>
                          </w:rPr>
                          <w:t>in order to</w:t>
                        </w:r>
                        <w:proofErr w:type="gramEnd"/>
                        <w:r>
                          <w:rPr>
                            <w:rFonts w:ascii="Tahoma" w:eastAsia="Times New Roman" w:hAnsi="Tahoma" w:cs="Tahoma"/>
                            <w:color w:val="303030"/>
                            <w:sz w:val="21"/>
                            <w:szCs w:val="21"/>
                          </w:rPr>
                          <w:t xml:space="preserve"> claim the £300 engagement and set up payment for the GP Community Pharmacist Consultation Service (GP CPCS), the activities listed in Annex F of the CPCS service specification </w:t>
                        </w:r>
                        <w:r>
                          <w:rPr>
                            <w:rStyle w:val="Strong"/>
                            <w:rFonts w:ascii="Tahoma" w:eastAsia="Times New Roman" w:hAnsi="Tahoma" w:cs="Tahoma"/>
                            <w:color w:val="303030"/>
                            <w:sz w:val="21"/>
                            <w:szCs w:val="21"/>
                          </w:rPr>
                          <w:t>must be completed by 30th June 2021</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t>Payment claims can be made until 11.59pm on the 5th of July 2021 using the NHS Business Services Authority’s Manage Your Service (MYS) platform. Contractors should keep documented evidence to show that all the activities have been completed for Post Payment Verification purposes.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Read the GP CPCS service requirements</w:t>
                          </w:r>
                        </w:hyperlink>
                        <w:r>
                          <w:rPr>
                            <w:rFonts w:ascii="Tahoma" w:eastAsia="Times New Roman" w:hAnsi="Tahoma" w:cs="Tahoma"/>
                            <w:color w:val="303030"/>
                            <w:sz w:val="21"/>
                            <w:szCs w:val="21"/>
                          </w:rPr>
                          <w:t xml:space="preserve"> </w:t>
                        </w:r>
                      </w:p>
                      <w:p w14:paraId="2861A1BC" w14:textId="77777777" w:rsidR="00397C01" w:rsidRDefault="00397C01">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lastRenderedPageBreak/>
                          <w:pict w14:anchorId="687042DF">
                            <v:rect id="_x0000_i1035" style="width:468pt;height:1.5pt" o:hralign="center" o:hrstd="t" o:hr="t" fillcolor="#a0a0a0" stroked="f"/>
                          </w:pict>
                        </w:r>
                      </w:p>
                      <w:p w14:paraId="722063E9" w14:textId="665492C1" w:rsidR="00397C01" w:rsidRDefault="00397C01" w:rsidP="00397C01">
                        <w:pPr>
                          <w:spacing w:line="264" w:lineRule="auto"/>
                          <w:rPr>
                            <w:rFonts w:ascii="Tahoma" w:eastAsia="Times New Roman" w:hAnsi="Tahoma" w:cs="Tahoma"/>
                            <w:color w:val="303030"/>
                            <w:sz w:val="21"/>
                            <w:szCs w:val="21"/>
                          </w:rPr>
                        </w:pPr>
                        <w:r>
                          <w:rPr>
                            <w:rStyle w:val="Strong"/>
                            <w:rFonts w:ascii="Tahoma" w:eastAsia="Times New Roman" w:hAnsi="Tahoma" w:cs="Tahoma"/>
                            <w:color w:val="4E3487"/>
                            <w:sz w:val="27"/>
                            <w:szCs w:val="27"/>
                          </w:rPr>
                          <w:t>Class 2 MHRA medicines recall notice</w:t>
                        </w:r>
                        <w:r>
                          <w:rPr>
                            <w:rFonts w:ascii="Tahoma" w:eastAsia="Times New Roman" w:hAnsi="Tahoma" w:cs="Tahoma"/>
                            <w:color w:val="303030"/>
                            <w:sz w:val="21"/>
                            <w:szCs w:val="21"/>
                          </w:rPr>
                          <w:br/>
                          <w:t xml:space="preserve">The Medicines and Healthcare products Regulatory Agency (MHRA) has issued a Class 2 medicines recall for </w:t>
                        </w:r>
                        <w:r>
                          <w:rPr>
                            <w:rStyle w:val="Strong"/>
                            <w:rFonts w:ascii="Tahoma" w:eastAsia="Times New Roman" w:hAnsi="Tahoma" w:cs="Tahoma"/>
                            <w:color w:val="303030"/>
                            <w:sz w:val="21"/>
                            <w:szCs w:val="21"/>
                          </w:rPr>
                          <w:t>Irbesartan-containing and Losartan-containing products</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t>Bristol Laboratories Limited, Brown &amp; Burk UK Ltd and Teva UK Ltd are recalling a number of product batches​​ as a precautionary measure due to contamination with an impurity that has a mutagenic potential.</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Find out more about the recall</w:t>
                          </w:r>
                        </w:hyperlink>
                        <w:r>
                          <w:rPr>
                            <w:rFonts w:ascii="Tahoma" w:eastAsia="Times New Roman" w:hAnsi="Tahoma" w:cs="Tahoma"/>
                            <w:color w:val="303030"/>
                            <w:sz w:val="21"/>
                            <w:szCs w:val="21"/>
                          </w:rPr>
                          <w:t xml:space="preserve"> </w:t>
                        </w:r>
                      </w:p>
                      <w:p w14:paraId="5FA5C586" w14:textId="77777777" w:rsidR="00397C01" w:rsidRDefault="00397C01">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35C254E1">
                            <v:rect id="_x0000_i1036" style="width:468pt;height:1.5pt" o:hralign="center" o:hrstd="t" o:hr="t" fillcolor="#a0a0a0" stroked="f"/>
                          </w:pict>
                        </w:r>
                      </w:p>
                      <w:p w14:paraId="75978476" w14:textId="77777777" w:rsidR="00397C01" w:rsidRDefault="00397C01">
                        <w:pPr>
                          <w:pStyle w:val="Heading3"/>
                          <w:rPr>
                            <w:rFonts w:eastAsia="Times New Roman"/>
                          </w:rPr>
                        </w:pPr>
                        <w:r>
                          <w:rPr>
                            <w:rFonts w:eastAsia="Times New Roman"/>
                          </w:rPr>
                          <w:t>Medicine Supply Notification: </w:t>
                        </w:r>
                        <w:proofErr w:type="spellStart"/>
                        <w:r>
                          <w:rPr>
                            <w:rStyle w:val="Strong"/>
                            <w:rFonts w:eastAsia="Times New Roman"/>
                            <w:b/>
                            <w:bCs/>
                          </w:rPr>
                          <w:t>Kolanticon</w:t>
                        </w:r>
                        <w:proofErr w:type="spellEnd"/>
                        <w:r>
                          <w:rPr>
                            <w:rStyle w:val="Strong"/>
                            <w:rFonts w:eastAsia="Times New Roman"/>
                            <w:b/>
                            <w:bCs/>
                          </w:rPr>
                          <w:t xml:space="preserve"> gel</w:t>
                        </w:r>
                      </w:p>
                      <w:p w14:paraId="50C19A74" w14:textId="558EDCFD" w:rsidR="00397C01" w:rsidRDefault="00397C01" w:rsidP="00397C0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Department of Health and Social Care (DHSC) has issued a Medicine Supply Notification (MSN) for </w:t>
                        </w:r>
                        <w:proofErr w:type="spellStart"/>
                        <w:r>
                          <w:rPr>
                            <w:rStyle w:val="Strong"/>
                            <w:rFonts w:ascii="Tahoma" w:eastAsia="Times New Roman" w:hAnsi="Tahoma" w:cs="Tahoma"/>
                            <w:color w:val="303030"/>
                            <w:sz w:val="21"/>
                            <w:szCs w:val="21"/>
                          </w:rPr>
                          <w:t>Kolanticon</w:t>
                        </w:r>
                        <w:proofErr w:type="spellEnd"/>
                        <w:r>
                          <w:rPr>
                            <w:rStyle w:val="Strong"/>
                            <w:rFonts w:ascii="Tahoma" w:eastAsia="Times New Roman" w:hAnsi="Tahoma" w:cs="Tahoma"/>
                            <w:color w:val="303030"/>
                            <w:sz w:val="21"/>
                            <w:szCs w:val="21"/>
                          </w:rPr>
                          <w:t xml:space="preserve"> gel. </w:t>
                        </w:r>
                        <w:r>
                          <w:rPr>
                            <w:rFonts w:ascii="Tahoma" w:eastAsia="Times New Roman" w:hAnsi="Tahoma" w:cs="Tahoma"/>
                            <w:color w:val="303030"/>
                            <w:sz w:val="21"/>
                            <w:szCs w:val="21"/>
                          </w:rPr>
                          <w:br/>
                        </w:r>
                        <w:r>
                          <w:rPr>
                            <w:rFonts w:ascii="Tahoma" w:eastAsia="Times New Roman" w:hAnsi="Tahoma" w:cs="Tahoma"/>
                            <w:color w:val="303030"/>
                            <w:sz w:val="21"/>
                            <w:szCs w:val="21"/>
                          </w:rPr>
                          <w:br/>
                          <w:t>The DHSC Medicine Supply Team provide a monthly update on potential supply issues affecting primary care on the </w:t>
                        </w:r>
                        <w:hyperlink r:id="rId11" w:history="1">
                          <w:r>
                            <w:rPr>
                              <w:rStyle w:val="Hyperlink"/>
                              <w:rFonts w:ascii="Tahoma" w:eastAsia="Times New Roman" w:hAnsi="Tahoma" w:cs="Tahoma"/>
                              <w:b/>
                              <w:bCs/>
                              <w:color w:val="4E3487"/>
                              <w:sz w:val="21"/>
                              <w:szCs w:val="21"/>
                            </w:rPr>
                            <w:t>Specialist Pharmacy Services (SPS) website</w:t>
                          </w:r>
                        </w:hyperlink>
                        <w:r>
                          <w:rPr>
                            <w:rStyle w:val="Strong"/>
                            <w:rFonts w:ascii="Tahoma" w:eastAsia="Times New Roman" w:hAnsi="Tahoma" w:cs="Tahoma"/>
                            <w:color w:val="303030"/>
                            <w:sz w:val="21"/>
                            <w:szCs w:val="21"/>
                          </w:rPr>
                          <w:t>.</w:t>
                        </w:r>
                        <w:r>
                          <w:rPr>
                            <w:rFonts w:ascii="Tahoma" w:eastAsia="Times New Roman" w:hAnsi="Tahoma" w:cs="Tahoma"/>
                            <w:color w:val="303030"/>
                            <w:sz w:val="21"/>
                            <w:szCs w:val="21"/>
                          </w:rPr>
                          <w:t> To register, you will need an NHS email address.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Learn more about this MSN</w:t>
                          </w:r>
                        </w:hyperlink>
                      </w:p>
                    </w:tc>
                    <w:tc>
                      <w:tcPr>
                        <w:tcW w:w="150" w:type="dxa"/>
                        <w:vAlign w:val="center"/>
                        <w:hideMark/>
                      </w:tcPr>
                      <w:p w14:paraId="2E4F2A16" w14:textId="77777777" w:rsidR="00397C01" w:rsidRDefault="00397C01">
                        <w:pPr>
                          <w:rPr>
                            <w:rFonts w:ascii="Tahoma" w:eastAsia="Times New Roman" w:hAnsi="Tahoma" w:cs="Tahoma"/>
                            <w:color w:val="303030"/>
                            <w:sz w:val="21"/>
                            <w:szCs w:val="21"/>
                          </w:rPr>
                        </w:pPr>
                      </w:p>
                    </w:tc>
                  </w:tr>
                  <w:tr w:rsidR="00397C01" w14:paraId="2942433E" w14:textId="77777777">
                    <w:trPr>
                      <w:trHeight w:val="150"/>
                      <w:tblCellSpacing w:w="15" w:type="dxa"/>
                      <w:jc w:val="center"/>
                    </w:trPr>
                    <w:tc>
                      <w:tcPr>
                        <w:tcW w:w="150" w:type="dxa"/>
                        <w:vAlign w:val="center"/>
                        <w:hideMark/>
                      </w:tcPr>
                      <w:p w14:paraId="75E973A1" w14:textId="77777777" w:rsidR="00397C01" w:rsidRDefault="00397C01">
                        <w:pPr>
                          <w:rPr>
                            <w:rFonts w:ascii="Times New Roman" w:eastAsia="Times New Roman" w:hAnsi="Times New Roman" w:cs="Times New Roman"/>
                            <w:sz w:val="20"/>
                            <w:szCs w:val="20"/>
                          </w:rPr>
                        </w:pPr>
                      </w:p>
                    </w:tc>
                    <w:tc>
                      <w:tcPr>
                        <w:tcW w:w="8700" w:type="dxa"/>
                        <w:vAlign w:val="center"/>
                        <w:hideMark/>
                      </w:tcPr>
                      <w:p w14:paraId="1805EEF6" w14:textId="77777777" w:rsidR="00397C01" w:rsidRDefault="00397C01">
                        <w:pPr>
                          <w:rPr>
                            <w:rFonts w:ascii="Times New Roman" w:eastAsia="Times New Roman" w:hAnsi="Times New Roman" w:cs="Times New Roman"/>
                            <w:sz w:val="20"/>
                            <w:szCs w:val="20"/>
                          </w:rPr>
                        </w:pPr>
                      </w:p>
                    </w:tc>
                    <w:tc>
                      <w:tcPr>
                        <w:tcW w:w="150" w:type="dxa"/>
                        <w:vAlign w:val="center"/>
                        <w:hideMark/>
                      </w:tcPr>
                      <w:p w14:paraId="36AD166E" w14:textId="77777777" w:rsidR="00397C01" w:rsidRDefault="00397C01">
                        <w:pPr>
                          <w:rPr>
                            <w:rFonts w:ascii="Times New Roman" w:eastAsia="Times New Roman" w:hAnsi="Times New Roman" w:cs="Times New Roman"/>
                            <w:sz w:val="20"/>
                            <w:szCs w:val="20"/>
                          </w:rPr>
                        </w:pPr>
                      </w:p>
                    </w:tc>
                  </w:tr>
                </w:tbl>
                <w:p w14:paraId="6E1A6DB9" w14:textId="77777777" w:rsidR="00397C01" w:rsidRDefault="00397C01">
                  <w:pPr>
                    <w:jc w:val="center"/>
                    <w:rPr>
                      <w:rFonts w:ascii="Times New Roman" w:eastAsia="Times New Roman" w:hAnsi="Times New Roman" w:cs="Times New Roman"/>
                      <w:sz w:val="20"/>
                      <w:szCs w:val="20"/>
                    </w:rPr>
                  </w:pPr>
                </w:p>
              </w:tc>
            </w:tr>
          </w:tbl>
          <w:p w14:paraId="4B06C9CB" w14:textId="77777777" w:rsidR="00397C01" w:rsidRDefault="00397C01">
            <w:pPr>
              <w:jc w:val="center"/>
              <w:rPr>
                <w:rFonts w:ascii="Times New Roman" w:eastAsia="Times New Roman" w:hAnsi="Times New Roman" w:cs="Times New Roman"/>
                <w:sz w:val="20"/>
                <w:szCs w:val="20"/>
              </w:rPr>
            </w:pPr>
          </w:p>
        </w:tc>
      </w:tr>
      <w:tr w:rsidR="00397C01" w14:paraId="069D031D" w14:textId="77777777" w:rsidTr="00397C01">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97C01" w14:paraId="07E56F0E"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97C01" w14:paraId="44890F08" w14:textId="77777777">
                    <w:trPr>
                      <w:tblCellSpacing w:w="0" w:type="dxa"/>
                      <w:jc w:val="center"/>
                    </w:trPr>
                    <w:tc>
                      <w:tcPr>
                        <w:tcW w:w="3000" w:type="dxa"/>
                        <w:tcMar>
                          <w:top w:w="30" w:type="dxa"/>
                          <w:left w:w="75" w:type="dxa"/>
                          <w:bottom w:w="30" w:type="dxa"/>
                          <w:right w:w="75" w:type="dxa"/>
                        </w:tcMar>
                        <w:hideMark/>
                      </w:tcPr>
                      <w:p w14:paraId="475C5377" w14:textId="77777777" w:rsidR="00397C01" w:rsidRDefault="00397C01">
                        <w:pPr>
                          <w:pStyle w:val="Heading4"/>
                          <w:jc w:val="center"/>
                          <w:rPr>
                            <w:rFonts w:eastAsia="Times New Roman"/>
                          </w:rPr>
                        </w:pPr>
                        <w:r>
                          <w:rPr>
                            <w:rFonts w:eastAsia="Times New Roman"/>
                          </w:rPr>
                          <w:lastRenderedPageBreak/>
                          <w:t>Pharmaceutical Services Negotiating Committee</w:t>
                        </w:r>
                      </w:p>
                      <w:p w14:paraId="3BFAE521" w14:textId="1F9349FC" w:rsidR="00397C01" w:rsidRDefault="00397C01">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7B3F1CD8" wp14:editId="29DD0847">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F4273E5" wp14:editId="12D05BFE">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364E18B" wp14:editId="4D7803B7">
                              <wp:extent cx="609600" cy="304800"/>
                              <wp:effectExtent l="0" t="0" r="0" b="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02D8B09" wp14:editId="54D36913">
                              <wp:extent cx="609600" cy="304800"/>
                              <wp:effectExtent l="0" t="0" r="0" b="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3350838" w14:textId="77777777" w:rsidR="00397C01" w:rsidRDefault="00397C01">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397C01" w14:paraId="33C76A90" w14:textId="77777777">
                    <w:trPr>
                      <w:trHeight w:val="450"/>
                      <w:tblCellSpacing w:w="0" w:type="dxa"/>
                      <w:jc w:val="center"/>
                    </w:trPr>
                    <w:tc>
                      <w:tcPr>
                        <w:tcW w:w="9000" w:type="dxa"/>
                        <w:tcMar>
                          <w:top w:w="150" w:type="dxa"/>
                          <w:left w:w="0" w:type="dxa"/>
                          <w:bottom w:w="0" w:type="dxa"/>
                          <w:right w:w="0" w:type="dxa"/>
                        </w:tcMar>
                        <w:vAlign w:val="center"/>
                        <w:hideMark/>
                      </w:tcPr>
                      <w:p w14:paraId="591272B5" w14:textId="2EF634AD" w:rsidR="00397C01" w:rsidRDefault="00397C01" w:rsidP="00397C01">
                        <w:pPr>
                          <w:rPr>
                            <w:rFonts w:ascii="Arial" w:eastAsia="Times New Roman" w:hAnsi="Arial" w:cs="Arial"/>
                            <w:color w:val="FFFFFF"/>
                            <w:sz w:val="17"/>
                            <w:szCs w:val="17"/>
                          </w:rPr>
                        </w:pPr>
                      </w:p>
                    </w:tc>
                  </w:tr>
                </w:tbl>
                <w:p w14:paraId="044FE3DE" w14:textId="77777777" w:rsidR="00397C01" w:rsidRDefault="00397C01">
                  <w:pPr>
                    <w:jc w:val="center"/>
                    <w:rPr>
                      <w:rFonts w:ascii="Times New Roman" w:eastAsia="Times New Roman" w:hAnsi="Times New Roman" w:cs="Times New Roman"/>
                      <w:sz w:val="20"/>
                      <w:szCs w:val="20"/>
                    </w:rPr>
                  </w:pPr>
                </w:p>
              </w:tc>
            </w:tr>
          </w:tbl>
          <w:p w14:paraId="07E2106E" w14:textId="77777777" w:rsidR="00397C01" w:rsidRDefault="00397C01">
            <w:pPr>
              <w:jc w:val="center"/>
              <w:rPr>
                <w:rFonts w:ascii="Times New Roman" w:eastAsia="Times New Roman" w:hAnsi="Times New Roman" w:cs="Times New Roman"/>
                <w:sz w:val="20"/>
                <w:szCs w:val="20"/>
              </w:rPr>
            </w:pPr>
          </w:p>
        </w:tc>
      </w:tr>
    </w:tbl>
    <w:p w14:paraId="508D1706" w14:textId="64DBC1C0" w:rsidR="00397C01" w:rsidRDefault="00397C01" w:rsidP="00397C01">
      <w:pPr>
        <w:rPr>
          <w:rFonts w:eastAsia="Times New Roman"/>
        </w:rPr>
      </w:pPr>
      <w:r>
        <w:rPr>
          <w:rFonts w:eastAsia="Times New Roman"/>
          <w:noProof/>
        </w:rPr>
        <w:drawing>
          <wp:inline distT="0" distB="0" distL="0" distR="0" wp14:anchorId="6E3B7D5B" wp14:editId="31FD7E1C">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C91090F"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01"/>
    <w:rsid w:val="00397C01"/>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1B25D"/>
  <w15:chartTrackingRefBased/>
  <w15:docId w15:val="{4A506101-2313-4DA8-A5CA-0B440982A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C01"/>
    <w:rPr>
      <w:rFonts w:ascii="Calibri" w:hAnsi="Calibri" w:cs="Calibri"/>
      <w:lang w:eastAsia="en-GB"/>
    </w:rPr>
  </w:style>
  <w:style w:type="paragraph" w:styleId="Heading1">
    <w:name w:val="heading 1"/>
    <w:basedOn w:val="Normal"/>
    <w:link w:val="Heading1Char"/>
    <w:uiPriority w:val="9"/>
    <w:qFormat/>
    <w:rsid w:val="00397C01"/>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397C01"/>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397C01"/>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397C01"/>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C01"/>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397C01"/>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397C01"/>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397C01"/>
    <w:rPr>
      <w:rFonts w:ascii="Tahoma" w:hAnsi="Tahoma" w:cs="Tahoma"/>
      <w:b/>
      <w:bCs/>
      <w:color w:val="FFFFFF"/>
      <w:sz w:val="18"/>
      <w:szCs w:val="18"/>
      <w:lang w:eastAsia="en-GB"/>
    </w:rPr>
  </w:style>
  <w:style w:type="paragraph" w:styleId="NormalWeb">
    <w:name w:val="Normal (Web)"/>
    <w:basedOn w:val="Normal"/>
    <w:uiPriority w:val="99"/>
    <w:semiHidden/>
    <w:unhideWhenUsed/>
    <w:rsid w:val="00397C01"/>
    <w:pPr>
      <w:spacing w:before="100" w:beforeAutospacing="1" w:after="100" w:afterAutospacing="1"/>
    </w:pPr>
  </w:style>
  <w:style w:type="character" w:styleId="Strong">
    <w:name w:val="Strong"/>
    <w:basedOn w:val="DefaultParagraphFont"/>
    <w:uiPriority w:val="22"/>
    <w:qFormat/>
    <w:rsid w:val="00397C01"/>
    <w:rPr>
      <w:b/>
      <w:bCs/>
    </w:rPr>
  </w:style>
  <w:style w:type="character" w:styleId="Hyperlink">
    <w:name w:val="Hyperlink"/>
    <w:basedOn w:val="DefaultParagraphFont"/>
    <w:uiPriority w:val="99"/>
    <w:semiHidden/>
    <w:unhideWhenUsed/>
    <w:rsid w:val="00397C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eea540158c&amp;e=d19e9fd41c" TargetMode="External"/><Relationship Id="rId13" Type="http://schemas.openxmlformats.org/officeDocument/2006/relationships/hyperlink" Target="https://psnc.us7.list-manage.com/track/click?u=86d41ab7fa4c7c2c5d7210782&amp;id=5f26ad710b&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eada030030&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2f0604abff&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1fdaff0f1a&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10ba7ac025&amp;e=d19e9fd41c" TargetMode="External"/><Relationship Id="rId19" Type="http://schemas.openxmlformats.org/officeDocument/2006/relationships/hyperlink" Target="https://psnc.us7.list-manage.com/track/click?u=86d41ab7fa4c7c2c5d7210782&amp;id=c854c218f3&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fab75ae3ae&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2633836a15&amp;e=d19e9fd41c" TargetMode="External"/><Relationship Id="rId27" Type="http://schemas.openxmlformats.org/officeDocument/2006/relationships/image" Target="https://psnc.us7.list-manage.com/track/open.php?u=86d41ab7fa4c7c2c5d7210782&amp;id=4b763a73be&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2021-06-18T07:26:00Z</dcterms:created>
  <dcterms:modified xsi:type="dcterms:W3CDTF">2021-06-18T07:28:00Z</dcterms:modified>
</cp:coreProperties>
</file>