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E05825">
                          <w:rPr>
                            <w:noProof/>
                          </w:rPr>
                          <w:fldChar w:fldCharType="begin"/>
                        </w:r>
                        <w:r w:rsidR="00E05825">
                          <w:rPr>
                            <w:noProof/>
                          </w:rPr>
                          <w:instrText xml:space="preserve"> </w:instrText>
                        </w:r>
                        <w:r w:rsidR="00E05825">
                          <w:rPr>
                            <w:noProof/>
                          </w:rPr>
                          <w:instrText>INCLUDEPICTURE  "/var/folders/zq/_hgbfm5j5m929nsq7yq0snt00000gn/T/com.microsoft.Word/WebArchiveCopyPasteTempFiles/001d399a-96a4-4e1f-b905-a21d530b5d29.jpg" \* MERGEFORMATINET</w:instrText>
                        </w:r>
                        <w:r w:rsidR="00E05825">
                          <w:rPr>
                            <w:noProof/>
                          </w:rPr>
                          <w:instrText xml:space="preserve"> </w:instrText>
                        </w:r>
                        <w:r w:rsidR="00E05825">
                          <w:rPr>
                            <w:noProof/>
                          </w:rPr>
                          <w:fldChar w:fldCharType="separate"/>
                        </w:r>
                        <w:r w:rsidR="00E05825">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E05825">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098E92D8" w:rsidR="002F42A7" w:rsidRPr="00DE6A3B" w:rsidRDefault="00A663D7"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223C8A">
                          <w:rPr>
                            <w:rFonts w:ascii="Tahoma" w:hAnsi="Tahoma" w:cs="Tahoma"/>
                            <w:color w:val="93378A"/>
                            <w:sz w:val="30"/>
                            <w:szCs w:val="30"/>
                          </w:rPr>
                          <w:t>25</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E05825">
                    <w:rPr>
                      <w:rFonts w:ascii="Helvetica" w:hAnsi="Helvetica"/>
                      <w:noProof/>
                      <w:color w:val="000000"/>
                      <w:sz w:val="18"/>
                      <w:szCs w:val="18"/>
                    </w:rPr>
                    <w:fldChar w:fldCharType="begin"/>
                  </w:r>
                  <w:r w:rsidR="00E05825">
                    <w:rPr>
                      <w:rFonts w:ascii="Helvetica" w:hAnsi="Helvetica"/>
                      <w:noProof/>
                      <w:color w:val="000000"/>
                      <w:sz w:val="18"/>
                      <w:szCs w:val="18"/>
                    </w:rPr>
                    <w:instrText xml:space="preserve"> </w:instrText>
                  </w:r>
                  <w:r w:rsidR="00E05825">
                    <w:rPr>
                      <w:rFonts w:ascii="Helvetica" w:hAnsi="Helvetica"/>
                      <w:noProof/>
                      <w:color w:val="000000"/>
                      <w:sz w:val="18"/>
                      <w:szCs w:val="18"/>
                    </w:rPr>
                    <w:instrText>INCLUDEPICTURE  "/var/folders/zq/_hgbfm5j5m929nsq7yq0snt00000gn/T/com.microsoft.Word/WebArchiveCopyPasteTempFiles/Newsletter-style-bar.png" \* MERGEFORMATINET</w:instrText>
                  </w:r>
                  <w:r w:rsidR="00E05825">
                    <w:rPr>
                      <w:rFonts w:ascii="Helvetica" w:hAnsi="Helvetica"/>
                      <w:noProof/>
                      <w:color w:val="000000"/>
                      <w:sz w:val="18"/>
                      <w:szCs w:val="18"/>
                    </w:rPr>
                    <w:instrText xml:space="preserve"> </w:instrText>
                  </w:r>
                  <w:r w:rsidR="00E05825">
                    <w:rPr>
                      <w:rFonts w:ascii="Helvetica" w:hAnsi="Helvetica"/>
                      <w:noProof/>
                      <w:color w:val="000000"/>
                      <w:sz w:val="18"/>
                      <w:szCs w:val="18"/>
                    </w:rPr>
                    <w:fldChar w:fldCharType="separate"/>
                  </w:r>
                  <w:r w:rsidR="00E05825">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E05825">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E05825" w:rsidP="002907F7">
                        <w:pPr>
                          <w:rPr>
                            <w:rFonts w:ascii="Times New Roman" w:hAnsi="Times New Roman" w:cs="Times New Roman"/>
                          </w:rPr>
                        </w:pPr>
                        <w:r>
                          <w:rPr>
                            <w:noProof/>
                          </w:rPr>
                          <w:pict w14:anchorId="2BE0C096">
                            <v:rect id="_x0000_i1025" alt="" style="width:361.75pt;height:.05pt;mso-width-percent:0;mso-height-percent:0;mso-width-percent:0;mso-height-percent:0" o:hrpct="773"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0D8BAD61" w14:textId="5B582A04" w:rsidR="00223C8A" w:rsidRDefault="00223C8A" w:rsidP="00223C8A">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End of shielding for CEV patients; April Category M prices announced; GPh</w:t>
                        </w:r>
                        <w:r>
                          <w:rPr>
                            <w:rFonts w:ascii="Tahoma" w:hAnsi="Tahoma" w:cs="Tahoma"/>
                            <w:color w:val="4E3487"/>
                            <w:sz w:val="30"/>
                            <w:szCs w:val="30"/>
                          </w:rPr>
                          <w:t>C</w:t>
                        </w:r>
                        <w:r>
                          <w:rPr>
                            <w:rFonts w:ascii="Tahoma" w:hAnsi="Tahoma" w:cs="Tahoma"/>
                            <w:color w:val="4E3487"/>
                            <w:sz w:val="30"/>
                            <w:szCs w:val="30"/>
                          </w:rPr>
                          <w:t xml:space="preserve"> explores impact of C-19 on pharmacy students; c</w:t>
                        </w:r>
                        <w:r>
                          <w:rPr>
                            <w:rStyle w:val="Strong"/>
                            <w:rFonts w:ascii="Tahoma" w:hAnsi="Tahoma" w:cs="Tahoma"/>
                            <w:b/>
                            <w:bCs/>
                            <w:color w:val="4E3487"/>
                            <w:sz w:val="30"/>
                            <w:szCs w:val="30"/>
                          </w:rPr>
                          <w:t>onsultation on regulation of healthcare professionals</w:t>
                        </w:r>
                        <w:r>
                          <w:rPr>
                            <w:rFonts w:ascii="Tahoma" w:hAnsi="Tahoma" w:cs="Tahoma"/>
                            <w:color w:val="4E3487"/>
                            <w:sz w:val="30"/>
                            <w:szCs w:val="30"/>
                          </w:rPr>
                          <w:t>; C-19 vaccination safety poster.</w:t>
                        </w:r>
                      </w:p>
                      <w:p w14:paraId="428726B9" w14:textId="77777777" w:rsidR="00223C8A" w:rsidRDefault="00223C8A" w:rsidP="00223C8A">
                        <w:pPr>
                          <w:rPr>
                            <w:rFonts w:ascii="Times New Roman" w:hAnsi="Times New Roman" w:cs="Times New Roman"/>
                          </w:rPr>
                        </w:pPr>
                        <w:r>
                          <w:rPr>
                            <w:rFonts w:ascii="Tahoma" w:hAnsi="Tahoma" w:cs="Tahoma"/>
                            <w:color w:val="303030"/>
                            <w:sz w:val="21"/>
                            <w:szCs w:val="21"/>
                            <w:shd w:val="clear" w:color="auto" w:fill="FFFFFF"/>
                          </w:rPr>
                          <w:t> </w:t>
                        </w:r>
                      </w:p>
                      <w:p w14:paraId="55E561CB" w14:textId="77777777" w:rsidR="00223C8A" w:rsidRPr="00223C8A" w:rsidRDefault="00223C8A" w:rsidP="00223C8A">
                        <w:pPr>
                          <w:pStyle w:val="Heading3"/>
                          <w:spacing w:before="0" w:after="75" w:line="297" w:lineRule="atLeast"/>
                          <w:rPr>
                            <w:rFonts w:ascii="Tahoma" w:hAnsi="Tahoma" w:cs="Tahoma"/>
                            <w:b/>
                            <w:bCs/>
                            <w:color w:val="4E3487"/>
                            <w:sz w:val="28"/>
                            <w:szCs w:val="28"/>
                          </w:rPr>
                        </w:pPr>
                        <w:r w:rsidRPr="00223C8A">
                          <w:rPr>
                            <w:rFonts w:ascii="Tahoma" w:hAnsi="Tahoma" w:cs="Tahoma"/>
                            <w:b/>
                            <w:bCs/>
                            <w:color w:val="4E3487"/>
                            <w:sz w:val="28"/>
                            <w:szCs w:val="28"/>
                          </w:rPr>
                          <w:t>Shielding for CEV patients to stop from 1st April 2021</w:t>
                        </w:r>
                      </w:p>
                      <w:p w14:paraId="5BE599BD" w14:textId="77777777" w:rsidR="00223C8A" w:rsidRDefault="00223C8A" w:rsidP="00223C8A">
                        <w:pPr>
                          <w:spacing w:after="240"/>
                          <w:rPr>
                            <w:rFonts w:ascii="Times New Roman" w:hAnsi="Times New Roman" w:cs="Times New Roman"/>
                          </w:rPr>
                        </w:pPr>
                        <w:r>
                          <w:rPr>
                            <w:rFonts w:ascii="Tahoma" w:hAnsi="Tahoma" w:cs="Tahoma"/>
                            <w:color w:val="303030"/>
                            <w:sz w:val="21"/>
                            <w:szCs w:val="21"/>
                          </w:rPr>
                          <w:br/>
                          <w:t>The Government has advised that from 1st April 2021 all clinically extremely vulnerable (CEV) patients in England will no longer be required to shield; all CEV patients should have received a </w:t>
                        </w:r>
                        <w:hyperlink r:id="rId9" w:tgtFrame="_blank" w:history="1">
                          <w:r>
                            <w:rPr>
                              <w:rStyle w:val="Hyperlink"/>
                              <w:rFonts w:ascii="Tahoma" w:hAnsi="Tahoma" w:cs="Tahoma"/>
                              <w:b/>
                              <w:bCs/>
                              <w:color w:val="4E3487"/>
                              <w:sz w:val="21"/>
                              <w:szCs w:val="21"/>
                            </w:rPr>
                            <w:t>letter</w:t>
                          </w:r>
                        </w:hyperlink>
                        <w:r>
                          <w:rPr>
                            <w:rFonts w:ascii="Tahoma" w:hAnsi="Tahoma" w:cs="Tahoma"/>
                            <w:color w:val="303030"/>
                            <w:sz w:val="21"/>
                            <w:szCs w:val="21"/>
                          </w:rPr>
                          <w:t> notifying them of this.</w:t>
                        </w:r>
                        <w:r>
                          <w:rPr>
                            <w:rFonts w:ascii="Tahoma" w:hAnsi="Tahoma" w:cs="Tahoma"/>
                            <w:color w:val="303030"/>
                            <w:sz w:val="21"/>
                            <w:szCs w:val="21"/>
                          </w:rPr>
                          <w:br/>
                        </w:r>
                        <w:r>
                          <w:rPr>
                            <w:rFonts w:ascii="Tahoma" w:hAnsi="Tahoma" w:cs="Tahoma"/>
                            <w:color w:val="303030"/>
                            <w:sz w:val="21"/>
                            <w:szCs w:val="21"/>
                          </w:rPr>
                          <w:br/>
                          <w:t>Community pharmacy contractors should be aware that t</w:t>
                        </w:r>
                        <w:r>
                          <w:rPr>
                            <w:rFonts w:ascii="Tahoma" w:hAnsi="Tahoma" w:cs="Tahoma"/>
                            <w:color w:val="303030"/>
                            <w:sz w:val="21"/>
                            <w:szCs w:val="21"/>
                            <w:shd w:val="clear" w:color="auto" w:fill="FFFFFF"/>
                          </w:rPr>
                          <w:t>he Pandemic Delivery Service for CEV patients will finish on 31st March 2021, although the service will continue for </w:t>
                        </w:r>
                        <w:hyperlink r:id="rId10" w:tgtFrame="_blank" w:history="1">
                          <w:r>
                            <w:rPr>
                              <w:rStyle w:val="Hyperlink"/>
                              <w:rFonts w:ascii="Tahoma" w:hAnsi="Tahoma" w:cs="Tahoma"/>
                              <w:b/>
                              <w:bCs/>
                              <w:color w:val="4E3487"/>
                              <w:sz w:val="21"/>
                              <w:szCs w:val="21"/>
                            </w:rPr>
                            <w:t>people who have been notified of the need to self-isolate</w:t>
                          </w:r>
                        </w:hyperlink>
                        <w:r>
                          <w:rPr>
                            <w:rFonts w:ascii="Tahoma" w:hAnsi="Tahoma" w:cs="Tahoma"/>
                            <w:color w:val="303030"/>
                            <w:sz w:val="21"/>
                            <w:szCs w:val="21"/>
                            <w:shd w:val="clear" w:color="auto" w:fill="FFFFFF"/>
                          </w:rPr>
                          <w:t> by NHS Test and Trace.</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the end of shielding</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1247BE35" w14:textId="77777777" w:rsidR="00223C8A" w:rsidRPr="00223C8A" w:rsidRDefault="00223C8A" w:rsidP="00223C8A">
                        <w:pPr>
                          <w:pStyle w:val="Heading3"/>
                          <w:spacing w:before="0" w:after="75" w:line="297" w:lineRule="atLeast"/>
                          <w:rPr>
                            <w:rFonts w:ascii="Tahoma" w:hAnsi="Tahoma" w:cs="Tahoma"/>
                            <w:b/>
                            <w:bCs/>
                            <w:color w:val="4E3487"/>
                            <w:sz w:val="28"/>
                            <w:szCs w:val="28"/>
                          </w:rPr>
                        </w:pPr>
                        <w:r w:rsidRPr="00223C8A">
                          <w:rPr>
                            <w:rFonts w:ascii="Tahoma" w:hAnsi="Tahoma" w:cs="Tahoma"/>
                            <w:b/>
                            <w:bCs/>
                            <w:color w:val="4E3487"/>
                            <w:sz w:val="28"/>
                            <w:szCs w:val="28"/>
                          </w:rPr>
                          <w:t>April 2021 Category M prices announced</w:t>
                        </w:r>
                      </w:p>
                      <w:p w14:paraId="6558A2DC" w14:textId="7F5578A3" w:rsidR="00223C8A" w:rsidRDefault="00223C8A" w:rsidP="00223C8A">
                        <w:r>
                          <w:rPr>
                            <w:rFonts w:ascii="Tahoma" w:hAnsi="Tahoma" w:cs="Tahoma"/>
                            <w:color w:val="303030"/>
                            <w:sz w:val="21"/>
                            <w:szCs w:val="21"/>
                          </w:rPr>
                          <w:br/>
                          <w:t>The Drug Tariff Category M pricelist for April 2021 has been published on the </w:t>
                        </w:r>
                        <w:hyperlink r:id="rId12" w:tgtFrame="_blank" w:history="1">
                          <w:r>
                            <w:rPr>
                              <w:rStyle w:val="Hyperlink"/>
                              <w:rFonts w:ascii="Tahoma" w:hAnsi="Tahoma" w:cs="Tahoma"/>
                              <w:b/>
                              <w:bCs/>
                              <w:color w:val="4E3487"/>
                              <w:sz w:val="21"/>
                              <w:szCs w:val="21"/>
                            </w:rPr>
                            <w:t>NHS Business Services Authority (NHSBSA) website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The April Category M prices reflect natural reductions to prices due to changes in the buying costs of medicines in the reference period (October to December 2020), along with an uplift to ensure margin run rates proceed at the desired level. However, PSNC also pressed the Department of Health and Social Care (DHSC) to retain the previous £15m per quarter uplift included in January’s Drug Tariff.</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 new Category M prices</w:t>
                          </w:r>
                        </w:hyperlink>
                      </w:p>
                      <w:p w14:paraId="0D020F76" w14:textId="2892C7E8" w:rsidR="00223C8A" w:rsidRDefault="00223C8A" w:rsidP="00223C8A"/>
                      <w:p w14:paraId="220BD471" w14:textId="77777777" w:rsidR="00223C8A" w:rsidRDefault="00223C8A" w:rsidP="00223C8A"/>
                      <w:p w14:paraId="5F46575F" w14:textId="77777777" w:rsidR="00223C8A" w:rsidRDefault="00223C8A" w:rsidP="00223C8A">
                        <w:pPr>
                          <w:rPr>
                            <w:rFonts w:ascii="Tahoma" w:hAnsi="Tahoma" w:cs="Tahoma"/>
                            <w:color w:val="303030"/>
                            <w:sz w:val="21"/>
                            <w:szCs w:val="21"/>
                            <w:shd w:val="clear" w:color="auto" w:fill="FFFFFF"/>
                          </w:rPr>
                        </w:pPr>
                        <w:r w:rsidRPr="00223C8A">
                          <w:rPr>
                            <w:rFonts w:ascii="Tahoma" w:hAnsi="Tahoma" w:cs="Tahoma"/>
                            <w:b/>
                            <w:bCs/>
                            <w:color w:val="4E3487"/>
                            <w:sz w:val="28"/>
                            <w:szCs w:val="28"/>
                          </w:rPr>
                          <w:t>The impact of C-19 on pharmacy students</w:t>
                        </w:r>
                        <w:r>
                          <w:rPr>
                            <w:rFonts w:ascii="Tahoma" w:hAnsi="Tahoma" w:cs="Tahoma"/>
                            <w:color w:val="303030"/>
                            <w:sz w:val="21"/>
                            <w:szCs w:val="21"/>
                          </w:rPr>
                          <w:br/>
                        </w:r>
                      </w:p>
                      <w:p w14:paraId="651E1A1A" w14:textId="2A1769E6" w:rsidR="00223C8A" w:rsidRDefault="00223C8A" w:rsidP="00223C8A">
                        <w:pPr>
                          <w:rPr>
                            <w:rFonts w:ascii="Times New Roman" w:hAnsi="Times New Roman" w:cs="Times New Roman"/>
                          </w:rPr>
                        </w:pPr>
                        <w:r>
                          <w:rPr>
                            <w:rFonts w:ascii="Tahoma" w:hAnsi="Tahoma" w:cs="Tahoma"/>
                            <w:color w:val="303030"/>
                            <w:sz w:val="21"/>
                            <w:szCs w:val="21"/>
                            <w:shd w:val="clear" w:color="auto" w:fill="FFFFFF"/>
                          </w:rPr>
                          <w:t>The General Pharmaceutical Council (GPhC) has commissioned Keele University to research the impact of the COVID-19 pandemic on provisionally-registered pharmacists and pre-registration trainees. Target participation groups will be emailed about how to get involved.</w:t>
                        </w:r>
                      </w:p>
                      <w:p w14:paraId="2C223A2E" w14:textId="7585D3B3" w:rsidR="00223C8A" w:rsidRPr="00223C8A" w:rsidRDefault="00223C8A" w:rsidP="00223C8A">
                        <w:pPr>
                          <w:pStyle w:val="Heading3"/>
                          <w:spacing w:before="0" w:after="75" w:line="297" w:lineRule="atLeast"/>
                          <w:rPr>
                            <w:rFonts w:ascii="Tahoma" w:hAnsi="Tahoma" w:cs="Tahoma"/>
                            <w:b/>
                            <w:bCs/>
                            <w:color w:val="4E3487"/>
                            <w:sz w:val="28"/>
                            <w:szCs w:val="28"/>
                          </w:rPr>
                        </w:pPr>
                        <w:r>
                          <w:rPr>
                            <w:rFonts w:ascii="Tahoma" w:hAnsi="Tahoma" w:cs="Tahoma"/>
                            <w:color w:val="303030"/>
                            <w:sz w:val="21"/>
                            <w:szCs w:val="21"/>
                            <w:shd w:val="clear" w:color="auto" w:fill="FFFFFF"/>
                          </w:rPr>
                          <w:lastRenderedPageBreak/>
                          <w:t>Through the study, the GPhC aims to understand the experiences of clinical training over the last 12 months and preparations around sitting the registration assessment. The findings will feed into the GPhC’s work on educational reform to the initial education and training of pharmacists.</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Read more about this study</w:t>
                          </w:r>
                        </w:hyperlink>
                      </w:p>
                      <w:p w14:paraId="381EC3F6" w14:textId="77777777" w:rsidR="00223C8A" w:rsidRPr="00223C8A" w:rsidRDefault="00223C8A" w:rsidP="00223C8A">
                        <w:pPr>
                          <w:pStyle w:val="Heading3"/>
                          <w:spacing w:before="0" w:after="75" w:line="297" w:lineRule="atLeast"/>
                          <w:rPr>
                            <w:rFonts w:ascii="Tahoma" w:hAnsi="Tahoma" w:cs="Tahoma"/>
                            <w:b/>
                            <w:bCs/>
                            <w:color w:val="4E3487"/>
                          </w:rPr>
                        </w:pPr>
                        <w:r>
                          <w:rPr>
                            <w:rFonts w:ascii="Tahoma" w:hAnsi="Tahoma" w:cs="Tahoma"/>
                            <w:color w:val="4E3487"/>
                          </w:rPr>
                          <w:br/>
                        </w:r>
                        <w:r w:rsidRPr="00223C8A">
                          <w:rPr>
                            <w:rFonts w:ascii="Tahoma" w:hAnsi="Tahoma" w:cs="Tahoma"/>
                            <w:b/>
                            <w:bCs/>
                            <w:color w:val="4E3487"/>
                            <w:sz w:val="28"/>
                            <w:szCs w:val="28"/>
                          </w:rPr>
                          <w:t>Consultation on the regulation of healthcare professionals </w:t>
                        </w:r>
                      </w:p>
                      <w:p w14:paraId="0F5098A0" w14:textId="77777777" w:rsidR="00223C8A" w:rsidRDefault="00223C8A" w:rsidP="00223C8A">
                        <w:pPr>
                          <w:pStyle w:val="NormalWeb"/>
                          <w:jc w:val="both"/>
                          <w:rPr>
                            <w:rFonts w:ascii="Tahoma" w:hAnsi="Tahoma" w:cs="Tahoma"/>
                            <w:color w:val="303030"/>
                            <w:sz w:val="21"/>
                            <w:szCs w:val="21"/>
                          </w:rPr>
                        </w:pPr>
                        <w:r>
                          <w:rPr>
                            <w:rFonts w:ascii="Tahoma" w:hAnsi="Tahoma" w:cs="Tahoma"/>
                            <w:color w:val="303030"/>
                            <w:sz w:val="21"/>
                            <w:szCs w:val="21"/>
                          </w:rPr>
                          <w:t>The Department of Health and Social Care (DHSC) has launched a consultation on proposals to reform the regulation of healthcare professionals in the UK, including pharmacists and pharmacy technicians. </w:t>
                        </w:r>
                      </w:p>
                      <w:p w14:paraId="21FBE6F4" w14:textId="77777777" w:rsidR="00223C8A" w:rsidRDefault="00223C8A" w:rsidP="00223C8A">
                        <w:pPr>
                          <w:pStyle w:val="NormalWeb"/>
                          <w:jc w:val="both"/>
                          <w:rPr>
                            <w:rFonts w:ascii="Tahoma" w:hAnsi="Tahoma" w:cs="Tahoma"/>
                            <w:color w:val="303030"/>
                            <w:sz w:val="21"/>
                            <w:szCs w:val="21"/>
                          </w:rPr>
                        </w:pPr>
                        <w:r>
                          <w:rPr>
                            <w:rFonts w:ascii="Tahoma" w:hAnsi="Tahoma" w:cs="Tahoma"/>
                            <w:color w:val="303030"/>
                            <w:sz w:val="21"/>
                            <w:szCs w:val="21"/>
                          </w:rPr>
                          <w:t>The proposed reforms aim to protect the public and registrants’ rights, enable the system to respond to changing workforce developments, and simplify overly detailed legislation where possible. They have been developed in partnership with the professional regulator bodies. </w:t>
                        </w:r>
                      </w:p>
                      <w:p w14:paraId="57D7D44A" w14:textId="77777777" w:rsidR="00223C8A" w:rsidRDefault="00223C8A" w:rsidP="00223C8A">
                        <w:pPr>
                          <w:pStyle w:val="NormalWeb"/>
                          <w:jc w:val="both"/>
                          <w:rPr>
                            <w:rFonts w:ascii="Tahoma" w:hAnsi="Tahoma" w:cs="Tahoma"/>
                            <w:color w:val="303030"/>
                            <w:sz w:val="21"/>
                            <w:szCs w:val="21"/>
                          </w:rPr>
                        </w:pPr>
                        <w:r>
                          <w:rPr>
                            <w:rFonts w:ascii="Tahoma" w:hAnsi="Tahoma" w:cs="Tahoma"/>
                            <w:color w:val="303030"/>
                            <w:sz w:val="21"/>
                            <w:szCs w:val="21"/>
                          </w:rPr>
                          <w:t>Those wishing to respond to the consultation should do so by 12.15am on 16th June 2021. </w:t>
                        </w:r>
                      </w:p>
                      <w:p w14:paraId="0DF7F6D3" w14:textId="77777777" w:rsidR="00223C8A" w:rsidRDefault="00223C8A" w:rsidP="00223C8A">
                        <w:pPr>
                          <w:pStyle w:val="NormalWeb"/>
                          <w:jc w:val="both"/>
                          <w:rPr>
                            <w:rFonts w:ascii="Tahoma" w:hAnsi="Tahoma" w:cs="Tahoma"/>
                            <w:color w:val="303030"/>
                            <w:sz w:val="21"/>
                            <w:szCs w:val="21"/>
                          </w:rPr>
                        </w:pPr>
                        <w:hyperlink r:id="rId15" w:tgtFrame="_blank" w:history="1">
                          <w:r>
                            <w:rPr>
                              <w:rStyle w:val="Hyperlink"/>
                              <w:rFonts w:ascii="Tahoma" w:hAnsi="Tahoma" w:cs="Tahoma"/>
                              <w:b/>
                              <w:bCs/>
                              <w:color w:val="4E3487"/>
                              <w:sz w:val="21"/>
                              <w:szCs w:val="21"/>
                            </w:rPr>
                            <w:t>Read the proposals and respond to the consultation</w:t>
                          </w:r>
                        </w:hyperlink>
                        <w:r>
                          <w:rPr>
                            <w:rFonts w:ascii="Tahoma" w:hAnsi="Tahoma" w:cs="Tahoma"/>
                            <w:color w:val="303030"/>
                            <w:sz w:val="21"/>
                            <w:szCs w:val="21"/>
                          </w:rPr>
                          <w:t> </w:t>
                        </w:r>
                      </w:p>
                      <w:p w14:paraId="7CC4AB41" w14:textId="77777777" w:rsidR="00223C8A" w:rsidRPr="00223C8A" w:rsidRDefault="00223C8A" w:rsidP="00223C8A">
                        <w:pPr>
                          <w:pStyle w:val="Heading3"/>
                          <w:spacing w:before="0" w:after="75" w:line="297" w:lineRule="atLeast"/>
                          <w:rPr>
                            <w:rFonts w:ascii="Tahoma" w:hAnsi="Tahoma" w:cs="Tahoma"/>
                            <w:b/>
                            <w:bCs/>
                            <w:color w:val="4E3487"/>
                            <w:sz w:val="28"/>
                            <w:szCs w:val="28"/>
                          </w:rPr>
                        </w:pPr>
                        <w:r w:rsidRPr="00223C8A">
                          <w:rPr>
                            <w:rFonts w:ascii="Tahoma" w:hAnsi="Tahoma" w:cs="Tahoma"/>
                            <w:b/>
                            <w:bCs/>
                            <w:color w:val="4E3487"/>
                            <w:sz w:val="28"/>
                            <w:szCs w:val="28"/>
                          </w:rPr>
                          <w:t>PDA publishes C-19 vaccination safety poster</w:t>
                        </w:r>
                      </w:p>
                      <w:p w14:paraId="1FEADC12" w14:textId="77777777" w:rsidR="00223C8A" w:rsidRDefault="00223C8A" w:rsidP="00223C8A">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Drawing on its experiences as an insurer, the Pharmacists’ Defence Association (PDA) has developed a poster on lessons from the experience of pharmacists working in the COVID-19 vaccination programme. The poster aims to help improve vaccination safety by sharing the experiences of others and is designed to be displayed in vaccination venues. </w:t>
                        </w:r>
                      </w:p>
                      <w:p w14:paraId="100950F8" w14:textId="77777777" w:rsidR="00223C8A" w:rsidRDefault="00223C8A" w:rsidP="00223C8A">
                        <w:pPr>
                          <w:pStyle w:val="NormalWeb"/>
                          <w:jc w:val="both"/>
                          <w:rPr>
                            <w:rFonts w:ascii="Tahoma" w:hAnsi="Tahoma" w:cs="Tahoma"/>
                            <w:color w:val="303030"/>
                            <w:sz w:val="21"/>
                            <w:szCs w:val="21"/>
                          </w:rPr>
                        </w:pPr>
                        <w:r>
                          <w:rPr>
                            <w:rFonts w:ascii="Tahoma" w:hAnsi="Tahoma" w:cs="Tahoma"/>
                            <w:color w:val="303030"/>
                            <w:sz w:val="21"/>
                            <w:szCs w:val="21"/>
                          </w:rPr>
                          <w:t>The poster is available to </w:t>
                        </w:r>
                        <w:hyperlink r:id="rId16" w:tgtFrame="_blank" w:history="1">
                          <w:r>
                            <w:rPr>
                              <w:rStyle w:val="Hyperlink"/>
                              <w:rFonts w:ascii="Tahoma" w:hAnsi="Tahoma" w:cs="Tahoma"/>
                              <w:b/>
                              <w:bCs/>
                              <w:color w:val="4E3487"/>
                              <w:sz w:val="21"/>
                              <w:szCs w:val="21"/>
                            </w:rPr>
                            <w:t>download from the PDA website</w:t>
                          </w:r>
                        </w:hyperlink>
                        <w:r>
                          <w:rPr>
                            <w:rFonts w:ascii="Tahoma" w:hAnsi="Tahoma" w:cs="Tahoma"/>
                            <w:color w:val="303030"/>
                            <w:sz w:val="21"/>
                            <w:szCs w:val="21"/>
                          </w:rPr>
                          <w:t>. </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6"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E05825"/>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23C8A"/>
    <w:rsid w:val="002522E4"/>
    <w:rsid w:val="002902D8"/>
    <w:rsid w:val="002907F7"/>
    <w:rsid w:val="00296B2E"/>
    <w:rsid w:val="0029711A"/>
    <w:rsid w:val="002A3E79"/>
    <w:rsid w:val="002C520A"/>
    <w:rsid w:val="002E0191"/>
    <w:rsid w:val="002F42A7"/>
    <w:rsid w:val="00324705"/>
    <w:rsid w:val="0033373B"/>
    <w:rsid w:val="00352629"/>
    <w:rsid w:val="00373C2A"/>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05825"/>
    <w:rsid w:val="00E609D4"/>
    <w:rsid w:val="00E67361"/>
    <w:rsid w:val="00E700E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53036494">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cd90ee1d8a&amp;e=12757307a1" TargetMode="External"/><Relationship Id="rId18" Type="http://schemas.openxmlformats.org/officeDocument/2006/relationships/hyperlink" Target="https://psnc.us7.list-manage.com/track/click?u=86d41ab7fa4c7c2c5d7210782&amp;id=0719e3152f&amp;e=d3dc5e7fbd" TargetMode="External"/><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6ddc8a912d&amp;e=12757307a1" TargetMode="External"/><Relationship Id="rId17" Type="http://schemas.openxmlformats.org/officeDocument/2006/relationships/hyperlink" Target="https://psnc.us7.list-manage.com/track/click?u=86d41ab7fa4c7c2c5d7210782&amp;id=b671e78d7a&amp;e=d3dc5e7fbd"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psnc.us7.list-manage.com/track/click?u=86d41ab7fa4c7c2c5d7210782&amp;id=50f3032c41&amp;e=12757307a1" TargetMode="External"/><Relationship Id="rId20" Type="http://schemas.openxmlformats.org/officeDocument/2006/relationships/hyperlink" Target="https://psnc.us7.list-manage.com/track/click?u=86d41ab7fa4c7c2c5d7210782&amp;id=9f085df2d1&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9b42576ab7&amp;e=12757307a1" TargetMode="External"/><Relationship Id="rId24" Type="http://schemas.openxmlformats.org/officeDocument/2006/relationships/hyperlink" Target="https://psnc.us7.list-manage.com/track/click?u=86d41ab7fa4c7c2c5d7210782&amp;id=b774bcfe37&amp;e=d3dc5e7fbd"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54e714a846&amp;e=12757307a1"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psnc.us7.list-manage.com/track/click?u=86d41ab7fa4c7c2c5d7210782&amp;id=88cb660efe&amp;e=12757307a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1c38d1580&amp;e=12757307a1" TargetMode="External"/><Relationship Id="rId14" Type="http://schemas.openxmlformats.org/officeDocument/2006/relationships/hyperlink" Target="https://psnc.us7.list-manage.com/track/click?u=86d41ab7fa4c7c2c5d7210782&amp;id=e9b237a8f0&amp;e=12757307a1" TargetMode="External"/><Relationship Id="rId22" Type="http://schemas.openxmlformats.org/officeDocument/2006/relationships/hyperlink" Target="https://psnc.us7.list-manage.com/track/click?u=86d41ab7fa4c7c2c5d7210782&amp;id=3f47eea43b&amp;e=d3dc5e7fb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2021-03-26T15:57:00Z</dcterms:created>
  <dcterms:modified xsi:type="dcterms:W3CDTF">2021-03-26T15:57:00Z</dcterms:modified>
</cp:coreProperties>
</file>