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30C17" w14:paraId="1C56B21D" w14:textId="77777777" w:rsidTr="00630C1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30C17" w14:paraId="4530520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30C17" w14:paraId="3EE5F542" w14:textId="77777777">
                    <w:trPr>
                      <w:tblCellSpacing w:w="0" w:type="dxa"/>
                      <w:jc w:val="center"/>
                    </w:trPr>
                    <w:tc>
                      <w:tcPr>
                        <w:tcW w:w="3000" w:type="dxa"/>
                        <w:hideMark/>
                      </w:tcPr>
                      <w:p w14:paraId="10B3057B" w14:textId="6CCD831D" w:rsidR="00630C17" w:rsidRDefault="00630C1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6FEB9F3" w14:textId="77777777" w:rsidR="00630C17" w:rsidRDefault="00630C17">
                  <w:pPr>
                    <w:jc w:val="center"/>
                    <w:rPr>
                      <w:rFonts w:ascii="Times New Roman" w:eastAsia="Times New Roman" w:hAnsi="Times New Roman" w:cs="Times New Roman"/>
                      <w:sz w:val="20"/>
                      <w:szCs w:val="20"/>
                    </w:rPr>
                  </w:pPr>
                </w:p>
              </w:tc>
            </w:tr>
            <w:tr w:rsidR="00630C17" w14:paraId="5FF95F1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30C17" w14:paraId="10DD7F5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A1CE082" w14:textId="42A9B6CD" w:rsidR="00630C17" w:rsidRDefault="00630C17">
                        <w:pPr>
                          <w:jc w:val="center"/>
                          <w:rPr>
                            <w:rFonts w:eastAsia="Times New Roman"/>
                          </w:rPr>
                        </w:pPr>
                        <w:r>
                          <w:rPr>
                            <w:rFonts w:eastAsia="Times New Roman"/>
                            <w:noProof/>
                          </w:rPr>
                          <w:drawing>
                            <wp:inline distT="0" distB="0" distL="0" distR="0" wp14:anchorId="6F07126D" wp14:editId="76D41EA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30C17" w14:paraId="2C3D6B8D" w14:textId="77777777">
                    <w:trPr>
                      <w:tblCellSpacing w:w="0" w:type="dxa"/>
                    </w:trPr>
                    <w:tc>
                      <w:tcPr>
                        <w:tcW w:w="0" w:type="auto"/>
                        <w:vMerge/>
                        <w:tcBorders>
                          <w:top w:val="nil"/>
                          <w:left w:val="nil"/>
                          <w:bottom w:val="single" w:sz="2" w:space="0" w:color="FFFFFF"/>
                          <w:right w:val="nil"/>
                        </w:tcBorders>
                        <w:vAlign w:val="center"/>
                        <w:hideMark/>
                      </w:tcPr>
                      <w:p w14:paraId="1C6B1B94" w14:textId="77777777" w:rsidR="00630C17" w:rsidRDefault="00630C17">
                        <w:pPr>
                          <w:rPr>
                            <w:rFonts w:eastAsia="Times New Roman"/>
                          </w:rPr>
                        </w:pPr>
                      </w:p>
                    </w:tc>
                    <w:tc>
                      <w:tcPr>
                        <w:tcW w:w="3450" w:type="dxa"/>
                        <w:tcBorders>
                          <w:top w:val="nil"/>
                          <w:left w:val="nil"/>
                          <w:bottom w:val="nil"/>
                          <w:right w:val="nil"/>
                        </w:tcBorders>
                        <w:vAlign w:val="center"/>
                        <w:hideMark/>
                      </w:tcPr>
                      <w:p w14:paraId="540DB09D" w14:textId="77777777" w:rsidR="00630C17" w:rsidRDefault="00630C17">
                        <w:pPr>
                          <w:pStyle w:val="Heading1"/>
                          <w:rPr>
                            <w:rFonts w:eastAsia="Times New Roman"/>
                          </w:rPr>
                        </w:pPr>
                        <w:r>
                          <w:rPr>
                            <w:rFonts w:eastAsia="Times New Roman"/>
                          </w:rPr>
                          <w:t>PSNC Newsletter</w:t>
                        </w:r>
                      </w:p>
                    </w:tc>
                  </w:tr>
                  <w:tr w:rsidR="00630C17" w14:paraId="594E5829" w14:textId="77777777">
                    <w:trPr>
                      <w:tblCellSpacing w:w="0" w:type="dxa"/>
                    </w:trPr>
                    <w:tc>
                      <w:tcPr>
                        <w:tcW w:w="0" w:type="auto"/>
                        <w:vMerge/>
                        <w:tcBorders>
                          <w:top w:val="nil"/>
                          <w:left w:val="nil"/>
                          <w:bottom w:val="single" w:sz="2" w:space="0" w:color="FFFFFF"/>
                          <w:right w:val="nil"/>
                        </w:tcBorders>
                        <w:vAlign w:val="center"/>
                        <w:hideMark/>
                      </w:tcPr>
                      <w:p w14:paraId="4B53C502" w14:textId="77777777" w:rsidR="00630C17" w:rsidRDefault="00630C1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7B9ADD3" w14:textId="77777777" w:rsidR="00630C17" w:rsidRDefault="00630C17">
                        <w:pPr>
                          <w:pStyle w:val="Heading2"/>
                          <w:rPr>
                            <w:rFonts w:eastAsia="Times New Roman"/>
                            <w:color w:val="93378A"/>
                          </w:rPr>
                        </w:pPr>
                        <w:r>
                          <w:rPr>
                            <w:rFonts w:eastAsia="Times New Roman"/>
                            <w:color w:val="93378A"/>
                          </w:rPr>
                          <w:t>Friday 10th March 2023</w:t>
                        </w:r>
                      </w:p>
                    </w:tc>
                  </w:tr>
                </w:tbl>
                <w:p w14:paraId="2D98F4F0" w14:textId="77777777" w:rsidR="00630C17" w:rsidRDefault="00630C17">
                  <w:pPr>
                    <w:rPr>
                      <w:rFonts w:ascii="Times New Roman" w:eastAsia="Times New Roman" w:hAnsi="Times New Roman" w:cs="Times New Roman"/>
                      <w:sz w:val="20"/>
                      <w:szCs w:val="20"/>
                    </w:rPr>
                  </w:pPr>
                </w:p>
              </w:tc>
            </w:tr>
            <w:tr w:rsidR="00630C17" w14:paraId="18B96869" w14:textId="77777777">
              <w:tblPrEx>
                <w:shd w:val="clear" w:color="auto" w:fill="auto"/>
              </w:tblPrEx>
              <w:trPr>
                <w:tblCellSpacing w:w="0" w:type="dxa"/>
                <w:jc w:val="center"/>
              </w:trPr>
              <w:tc>
                <w:tcPr>
                  <w:tcW w:w="9000" w:type="dxa"/>
                  <w:hideMark/>
                </w:tcPr>
                <w:p w14:paraId="7CC1251B" w14:textId="741260DC" w:rsidR="00630C17" w:rsidRDefault="00630C17">
                  <w:pPr>
                    <w:rPr>
                      <w:rFonts w:eastAsia="Times New Roman"/>
                    </w:rPr>
                  </w:pPr>
                  <w:r>
                    <w:rPr>
                      <w:rFonts w:eastAsia="Times New Roman"/>
                      <w:noProof/>
                    </w:rPr>
                    <w:drawing>
                      <wp:inline distT="0" distB="0" distL="0" distR="0" wp14:anchorId="7D5AE172" wp14:editId="03F5498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30C17" w14:paraId="0598A23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30C17" w14:paraId="3C2838AC" w14:textId="77777777">
                    <w:trPr>
                      <w:trHeight w:val="150"/>
                      <w:tblCellSpacing w:w="15" w:type="dxa"/>
                      <w:jc w:val="center"/>
                    </w:trPr>
                    <w:tc>
                      <w:tcPr>
                        <w:tcW w:w="150" w:type="dxa"/>
                        <w:vAlign w:val="center"/>
                        <w:hideMark/>
                      </w:tcPr>
                      <w:p w14:paraId="1BE73154" w14:textId="77777777" w:rsidR="00630C17" w:rsidRDefault="00630C17" w:rsidP="00630C17">
                        <w:pPr>
                          <w:spacing w:line="264" w:lineRule="auto"/>
                          <w:rPr>
                            <w:rFonts w:eastAsia="Times New Roman"/>
                          </w:rPr>
                        </w:pPr>
                      </w:p>
                    </w:tc>
                    <w:tc>
                      <w:tcPr>
                        <w:tcW w:w="8700" w:type="dxa"/>
                        <w:vAlign w:val="center"/>
                        <w:hideMark/>
                      </w:tcPr>
                      <w:p w14:paraId="0F5C2B4D" w14:textId="77777777" w:rsidR="00630C17" w:rsidRDefault="00630C17" w:rsidP="00630C17">
                        <w:pPr>
                          <w:spacing w:line="264" w:lineRule="auto"/>
                          <w:rPr>
                            <w:rFonts w:ascii="Times New Roman" w:eastAsia="Times New Roman" w:hAnsi="Times New Roman" w:cs="Times New Roman"/>
                            <w:sz w:val="20"/>
                            <w:szCs w:val="20"/>
                          </w:rPr>
                        </w:pPr>
                      </w:p>
                    </w:tc>
                    <w:tc>
                      <w:tcPr>
                        <w:tcW w:w="150" w:type="dxa"/>
                        <w:vAlign w:val="center"/>
                        <w:hideMark/>
                      </w:tcPr>
                      <w:p w14:paraId="5DF5DCE5" w14:textId="77777777" w:rsidR="00630C17" w:rsidRDefault="00630C17" w:rsidP="00630C17">
                        <w:pPr>
                          <w:spacing w:line="264" w:lineRule="auto"/>
                          <w:rPr>
                            <w:rFonts w:ascii="Times New Roman" w:eastAsia="Times New Roman" w:hAnsi="Times New Roman" w:cs="Times New Roman"/>
                            <w:sz w:val="20"/>
                            <w:szCs w:val="20"/>
                          </w:rPr>
                        </w:pPr>
                      </w:p>
                    </w:tc>
                  </w:tr>
                  <w:tr w:rsidR="00630C17" w14:paraId="68BF544E" w14:textId="77777777">
                    <w:trPr>
                      <w:tblCellSpacing w:w="15" w:type="dxa"/>
                      <w:jc w:val="center"/>
                    </w:trPr>
                    <w:tc>
                      <w:tcPr>
                        <w:tcW w:w="150" w:type="dxa"/>
                        <w:vAlign w:val="center"/>
                        <w:hideMark/>
                      </w:tcPr>
                      <w:p w14:paraId="6E130582" w14:textId="77777777" w:rsidR="00630C17" w:rsidRDefault="00630C17" w:rsidP="00630C17">
                        <w:pPr>
                          <w:spacing w:line="264" w:lineRule="auto"/>
                          <w:rPr>
                            <w:rFonts w:ascii="Times New Roman" w:eastAsia="Times New Roman" w:hAnsi="Times New Roman" w:cs="Times New Roman"/>
                            <w:sz w:val="20"/>
                            <w:szCs w:val="20"/>
                          </w:rPr>
                        </w:pPr>
                      </w:p>
                    </w:tc>
                    <w:tc>
                      <w:tcPr>
                        <w:tcW w:w="8700" w:type="dxa"/>
                        <w:vAlign w:val="center"/>
                        <w:hideMark/>
                      </w:tcPr>
                      <w:p w14:paraId="6AC74310" w14:textId="77777777" w:rsidR="00630C17" w:rsidRDefault="00630C17" w:rsidP="00630C1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96499F2" w14:textId="77777777" w:rsidR="00630C17" w:rsidRDefault="00630C17" w:rsidP="00630C1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87CA60">
                            <v:rect id="_x0000_i1032" style="width:468pt;height:1.5pt" o:hrstd="t" o:hr="t" fillcolor="#a0a0a0" stroked="f"/>
                          </w:pict>
                        </w:r>
                      </w:p>
                      <w:p w14:paraId="2372D0BA" w14:textId="77777777" w:rsidR="00630C17" w:rsidRDefault="00630C17" w:rsidP="00630C17">
                        <w:pPr>
                          <w:pStyle w:val="Heading2"/>
                          <w:spacing w:after="0"/>
                          <w:rPr>
                            <w:rFonts w:eastAsia="Times New Roman"/>
                          </w:rPr>
                        </w:pPr>
                        <w:r>
                          <w:rPr>
                            <w:rFonts w:eastAsia="Times New Roman"/>
                          </w:rPr>
                          <w:t>In this update: Increase in the prescription charge; PSNC Elections begin; CPCF dates and checklist update. </w:t>
                        </w:r>
                      </w:p>
                      <w:p w14:paraId="06BE3422" w14:textId="77777777" w:rsidR="00630C17" w:rsidRDefault="00630C17" w:rsidP="00630C1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E6B975F">
                            <v:rect id="_x0000_i1033" style="width:468pt;height:1.5pt" o:hrstd="t" o:hr="t" fillcolor="#a0a0a0" stroked="f"/>
                          </w:pict>
                        </w:r>
                      </w:p>
                      <w:p w14:paraId="49E2B78B" w14:textId="77777777" w:rsidR="00630C17" w:rsidRDefault="00630C17" w:rsidP="00630C17">
                        <w:pPr>
                          <w:pStyle w:val="Heading3"/>
                          <w:spacing w:after="0"/>
                          <w:rPr>
                            <w:rFonts w:eastAsia="Times New Roman"/>
                          </w:rPr>
                        </w:pPr>
                        <w:r>
                          <w:rPr>
                            <w:rFonts w:eastAsia="Times New Roman"/>
                          </w:rPr>
                          <w:t xml:space="preserve">Prescription charge rises to </w:t>
                        </w:r>
                        <w:proofErr w:type="gramStart"/>
                        <w:r>
                          <w:rPr>
                            <w:rFonts w:eastAsia="Times New Roman"/>
                          </w:rPr>
                          <w:t>£9.65</w:t>
                        </w:r>
                        <w:proofErr w:type="gramEnd"/>
                      </w:p>
                      <w:p w14:paraId="19A83C5F" w14:textId="77777777" w:rsidR="00630C17" w:rsidRDefault="00630C17" w:rsidP="00630C1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Department of Health and Social Care (DHSC) has announced that from </w:t>
                        </w:r>
                        <w:r>
                          <w:rPr>
                            <w:rStyle w:val="Strong"/>
                            <w:rFonts w:ascii="Tahoma" w:hAnsi="Tahoma" w:cs="Tahoma"/>
                            <w:color w:val="303030"/>
                            <w:sz w:val="21"/>
                            <w:szCs w:val="21"/>
                          </w:rPr>
                          <w:t>1st April 2023</w:t>
                        </w:r>
                        <w:r>
                          <w:rPr>
                            <w:rFonts w:ascii="Tahoma" w:hAnsi="Tahoma" w:cs="Tahoma"/>
                            <w:color w:val="303030"/>
                            <w:sz w:val="21"/>
                            <w:szCs w:val="21"/>
                          </w:rPr>
                          <w:t xml:space="preserve">, the NHS prescription charge will </w:t>
                        </w:r>
                        <w:r>
                          <w:rPr>
                            <w:rStyle w:val="Strong"/>
                            <w:rFonts w:ascii="Tahoma" w:hAnsi="Tahoma" w:cs="Tahoma"/>
                            <w:color w:val="303030"/>
                            <w:sz w:val="21"/>
                            <w:szCs w:val="21"/>
                          </w:rPr>
                          <w:t>increase to £9.65 per prescription item</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Amendments to the National Health Service (Charges for Drugs and Appliances) Regulations have been laid before Parliament which will introduce changes for NHS prescription charge and prescription prepayment certificates (PPCs), as well as the introduction of the Hormone Replacement Therapy (HRT) PPC.</w:t>
                        </w:r>
                        <w:r>
                          <w:rPr>
                            <w:rFonts w:ascii="Tahoma" w:hAnsi="Tahoma" w:cs="Tahoma"/>
                            <w:color w:val="303030"/>
                            <w:sz w:val="21"/>
                            <w:szCs w:val="21"/>
                          </w:rPr>
                          <w:br/>
                        </w:r>
                        <w:r>
                          <w:rPr>
                            <w:rFonts w:ascii="Tahoma" w:hAnsi="Tahoma" w:cs="Tahoma"/>
                            <w:color w:val="303030"/>
                            <w:sz w:val="21"/>
                            <w:szCs w:val="21"/>
                          </w:rPr>
                          <w:br/>
                          <w:t xml:space="preserve">In response to this announcement, </w:t>
                        </w:r>
                        <w:r>
                          <w:rPr>
                            <w:rStyle w:val="Strong"/>
                            <w:rFonts w:ascii="Tahoma" w:hAnsi="Tahoma" w:cs="Tahoma"/>
                            <w:color w:val="303030"/>
                            <w:sz w:val="21"/>
                            <w:szCs w:val="21"/>
                          </w:rPr>
                          <w:t>PSNC Chief Executive Janet Morrison said:</w:t>
                        </w:r>
                        <w:r>
                          <w:rPr>
                            <w:rFonts w:ascii="Tahoma" w:hAnsi="Tahoma" w:cs="Tahoma"/>
                            <w:color w:val="303030"/>
                            <w:sz w:val="21"/>
                            <w:szCs w:val="21"/>
                          </w:rPr>
                          <w:br/>
                        </w:r>
                        <w:r>
                          <w:rPr>
                            <w:rFonts w:ascii="Tahoma" w:hAnsi="Tahoma" w:cs="Tahoma"/>
                            <w:color w:val="303030"/>
                            <w:sz w:val="21"/>
                            <w:szCs w:val="21"/>
                          </w:rPr>
                          <w:br/>
                          <w:t>"The rise in prescription charge will once again hit the most vulnerable patients the hardest and it will continue to put community pharmacy teams in an impossible position – it is not our job to police a tax that many people cannot afford, and we should not have to help patients to make unbearable decisions about which medicines to pay for. While Government and the NHS have deemed it acceptable to put inflationary increases on their charges to patients, they refuse to offer community pharmacies any help at all with inflationary pressures: why is it one rule for us and another for them?"</w:t>
                        </w:r>
                        <w:r>
                          <w:rPr>
                            <w:rFonts w:ascii="Tahoma" w:hAnsi="Tahoma" w:cs="Tahoma"/>
                            <w:color w:val="303030"/>
                            <w:sz w:val="21"/>
                            <w:szCs w:val="21"/>
                          </w:rPr>
                          <w:br/>
                        </w:r>
                        <w:r>
                          <w:rPr>
                            <w:rFonts w:ascii="Tahoma" w:hAnsi="Tahoma" w:cs="Tahoma"/>
                            <w:color w:val="303030"/>
                            <w:sz w:val="21"/>
                            <w:szCs w:val="21"/>
                          </w:rPr>
                          <w:br/>
                          <w:t>PSNC is in the process of updating its charge card and PPC poster. These will be available on our website in due course.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about changes to the prescription charge and PPCs</w:t>
                          </w:r>
                        </w:hyperlink>
                      </w:p>
                      <w:p w14:paraId="6620B910" w14:textId="77777777" w:rsidR="00630C17" w:rsidRDefault="00630C17" w:rsidP="00630C1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9AF0D4">
                            <v:rect id="_x0000_i1034" style="width:468pt;height:1.5pt" o:hrstd="t" o:hr="t" fillcolor="#a0a0a0" stroked="f"/>
                          </w:pict>
                        </w:r>
                      </w:p>
                      <w:p w14:paraId="10688FA1" w14:textId="77777777" w:rsidR="00630C17" w:rsidRDefault="00630C17" w:rsidP="00630C17">
                        <w:pPr>
                          <w:pStyle w:val="Heading3"/>
                          <w:spacing w:after="0"/>
                          <w:rPr>
                            <w:rFonts w:eastAsia="Times New Roman"/>
                          </w:rPr>
                        </w:pPr>
                        <w:r>
                          <w:rPr>
                            <w:rFonts w:eastAsia="Times New Roman"/>
                          </w:rPr>
                          <w:t xml:space="preserve">PSNC Elections now </w:t>
                        </w:r>
                        <w:proofErr w:type="gramStart"/>
                        <w:r>
                          <w:rPr>
                            <w:rFonts w:eastAsia="Times New Roman"/>
                          </w:rPr>
                          <w:t>running</w:t>
                        </w:r>
                        <w:proofErr w:type="gramEnd"/>
                      </w:p>
                      <w:p w14:paraId="165ACDC9" w14:textId="77777777" w:rsidR="00630C17" w:rsidRDefault="00630C17" w:rsidP="00630C1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Elections for the non-CCA Multiple Representatives and Regional Representatives on PSNC (soon to be Community Pharmacy England) have now begun. Voting contractors have been sent an email to either the head office contact or premises shared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address detailing who is standing for election and a unique link to the voting portal.</w:t>
                        </w:r>
                        <w:r>
                          <w:rPr>
                            <w:rFonts w:ascii="Tahoma" w:hAnsi="Tahoma" w:cs="Tahoma"/>
                            <w:color w:val="303030"/>
                            <w:sz w:val="21"/>
                            <w:szCs w:val="21"/>
                          </w:rPr>
                          <w:br/>
                        </w:r>
                        <w:r>
                          <w:rPr>
                            <w:rFonts w:ascii="Tahoma" w:hAnsi="Tahoma" w:cs="Tahoma"/>
                            <w:color w:val="303030"/>
                            <w:sz w:val="21"/>
                            <w:szCs w:val="21"/>
                          </w:rPr>
                          <w:br/>
                          <w:t>Full lists of candidates in each of the four PSNC regional elections, where there is a ballot, and the non-CCA Multiple election can now be found on the PSNC website. Policy statements for each candidate are available on the voting portal.</w:t>
                        </w:r>
                        <w:r>
                          <w:rPr>
                            <w:rFonts w:ascii="Tahoma" w:hAnsi="Tahoma" w:cs="Tahoma"/>
                            <w:color w:val="303030"/>
                            <w:sz w:val="21"/>
                            <w:szCs w:val="21"/>
                          </w:rPr>
                          <w:br/>
                        </w:r>
                        <w:r>
                          <w:rPr>
                            <w:rFonts w:ascii="Tahoma" w:hAnsi="Tahoma" w:cs="Tahoma"/>
                            <w:color w:val="303030"/>
                            <w:sz w:val="21"/>
                            <w:szCs w:val="21"/>
                          </w:rPr>
                          <w:lastRenderedPageBreak/>
                          <w:br/>
                          <w:t xml:space="preserve">Voting contractors have until </w:t>
                        </w:r>
                        <w:r>
                          <w:rPr>
                            <w:rStyle w:val="Strong"/>
                            <w:rFonts w:ascii="Tahoma" w:hAnsi="Tahoma" w:cs="Tahoma"/>
                            <w:color w:val="303030"/>
                            <w:sz w:val="21"/>
                            <w:szCs w:val="21"/>
                          </w:rPr>
                          <w:t>12 noon on Friday 24th March 2023</w:t>
                        </w:r>
                        <w:r>
                          <w:rPr>
                            <w:rFonts w:ascii="Tahoma" w:hAnsi="Tahoma" w:cs="Tahoma"/>
                            <w:color w:val="303030"/>
                            <w:sz w:val="21"/>
                            <w:szCs w:val="21"/>
                          </w:rPr>
                          <w:t xml:space="preserve"> to cast their vote(s).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 and see the candidate lists</w:t>
                          </w:r>
                        </w:hyperlink>
                      </w:p>
                      <w:p w14:paraId="349557A2" w14:textId="77777777" w:rsidR="00630C17" w:rsidRDefault="00630C17" w:rsidP="00630C1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15BC46">
                            <v:rect id="_x0000_i1035" style="width:468pt;height:1.5pt" o:hrstd="t" o:hr="t" fillcolor="#a0a0a0" stroked="f"/>
                          </w:pict>
                        </w:r>
                      </w:p>
                      <w:p w14:paraId="604FC3DB" w14:textId="77777777" w:rsidR="00630C17" w:rsidRDefault="00630C17" w:rsidP="00630C17">
                        <w:pPr>
                          <w:pStyle w:val="Heading3"/>
                          <w:spacing w:after="0"/>
                          <w:rPr>
                            <w:rFonts w:eastAsia="Times New Roman"/>
                          </w:rPr>
                        </w:pPr>
                        <w:r>
                          <w:rPr>
                            <w:rFonts w:eastAsia="Times New Roman"/>
                          </w:rPr>
                          <w:t xml:space="preserve">PSNC briefing on important CPCF </w:t>
                        </w:r>
                        <w:proofErr w:type="gramStart"/>
                        <w:r>
                          <w:rPr>
                            <w:rFonts w:eastAsia="Times New Roman"/>
                          </w:rPr>
                          <w:t>dates</w:t>
                        </w:r>
                        <w:proofErr w:type="gramEnd"/>
                      </w:p>
                      <w:p w14:paraId="6F1998E0" w14:textId="77777777" w:rsidR="00630C17" w:rsidRDefault="00630C17" w:rsidP="00630C1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Services Team has updated its checklist of important dates for the Community Pharmacy Contractual Framework (CPCF) which relate to services. It also highlights important dates for the 2022/23 Pharmacy Quality Scheme (PQS) and Terms of Service requirements, as well as dates when relevant news stories have been published which highlight resources for these services/requirements.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View the updated briefing</w:t>
                          </w:r>
                        </w:hyperlink>
                      </w:p>
                    </w:tc>
                    <w:tc>
                      <w:tcPr>
                        <w:tcW w:w="150" w:type="dxa"/>
                        <w:vAlign w:val="center"/>
                        <w:hideMark/>
                      </w:tcPr>
                      <w:p w14:paraId="440AADEE" w14:textId="77777777" w:rsidR="00630C17" w:rsidRDefault="00630C17" w:rsidP="00630C17">
                        <w:pPr>
                          <w:spacing w:line="264" w:lineRule="auto"/>
                          <w:rPr>
                            <w:rFonts w:ascii="Tahoma" w:hAnsi="Tahoma" w:cs="Tahoma"/>
                            <w:color w:val="303030"/>
                            <w:sz w:val="21"/>
                            <w:szCs w:val="21"/>
                          </w:rPr>
                        </w:pPr>
                      </w:p>
                    </w:tc>
                  </w:tr>
                  <w:tr w:rsidR="00630C17" w14:paraId="0FD48149" w14:textId="77777777">
                    <w:trPr>
                      <w:trHeight w:val="150"/>
                      <w:tblCellSpacing w:w="15" w:type="dxa"/>
                      <w:jc w:val="center"/>
                    </w:trPr>
                    <w:tc>
                      <w:tcPr>
                        <w:tcW w:w="150" w:type="dxa"/>
                        <w:vAlign w:val="center"/>
                        <w:hideMark/>
                      </w:tcPr>
                      <w:p w14:paraId="0F12342B" w14:textId="77777777" w:rsidR="00630C17" w:rsidRDefault="00630C17" w:rsidP="00630C17">
                        <w:pPr>
                          <w:spacing w:line="264" w:lineRule="auto"/>
                          <w:rPr>
                            <w:rFonts w:ascii="Times New Roman" w:eastAsia="Times New Roman" w:hAnsi="Times New Roman" w:cs="Times New Roman"/>
                            <w:sz w:val="20"/>
                            <w:szCs w:val="20"/>
                          </w:rPr>
                        </w:pPr>
                      </w:p>
                    </w:tc>
                    <w:tc>
                      <w:tcPr>
                        <w:tcW w:w="8700" w:type="dxa"/>
                        <w:vAlign w:val="center"/>
                        <w:hideMark/>
                      </w:tcPr>
                      <w:p w14:paraId="48680473" w14:textId="77777777" w:rsidR="00630C17" w:rsidRDefault="00630C17" w:rsidP="00630C17">
                        <w:pPr>
                          <w:spacing w:line="264" w:lineRule="auto"/>
                          <w:rPr>
                            <w:rFonts w:ascii="Times New Roman" w:eastAsia="Times New Roman" w:hAnsi="Times New Roman" w:cs="Times New Roman"/>
                            <w:sz w:val="20"/>
                            <w:szCs w:val="20"/>
                          </w:rPr>
                        </w:pPr>
                      </w:p>
                    </w:tc>
                    <w:tc>
                      <w:tcPr>
                        <w:tcW w:w="150" w:type="dxa"/>
                        <w:vAlign w:val="center"/>
                        <w:hideMark/>
                      </w:tcPr>
                      <w:p w14:paraId="597F9DC5" w14:textId="77777777" w:rsidR="00630C17" w:rsidRDefault="00630C17" w:rsidP="00630C17">
                        <w:pPr>
                          <w:spacing w:line="264" w:lineRule="auto"/>
                          <w:rPr>
                            <w:rFonts w:ascii="Times New Roman" w:eastAsia="Times New Roman" w:hAnsi="Times New Roman" w:cs="Times New Roman"/>
                            <w:sz w:val="20"/>
                            <w:szCs w:val="20"/>
                          </w:rPr>
                        </w:pPr>
                      </w:p>
                    </w:tc>
                  </w:tr>
                </w:tbl>
                <w:p w14:paraId="66708484" w14:textId="77777777" w:rsidR="00630C17" w:rsidRDefault="00630C17" w:rsidP="00630C17">
                  <w:pPr>
                    <w:spacing w:line="264" w:lineRule="auto"/>
                    <w:rPr>
                      <w:rFonts w:ascii="Times New Roman" w:eastAsia="Times New Roman" w:hAnsi="Times New Roman" w:cs="Times New Roman"/>
                      <w:sz w:val="20"/>
                      <w:szCs w:val="20"/>
                    </w:rPr>
                  </w:pPr>
                </w:p>
              </w:tc>
            </w:tr>
          </w:tbl>
          <w:p w14:paraId="4B9488F3" w14:textId="77777777" w:rsidR="00630C17" w:rsidRDefault="00630C17">
            <w:pPr>
              <w:jc w:val="center"/>
              <w:rPr>
                <w:rFonts w:ascii="Times New Roman" w:eastAsia="Times New Roman" w:hAnsi="Times New Roman" w:cs="Times New Roman"/>
                <w:sz w:val="20"/>
                <w:szCs w:val="20"/>
              </w:rPr>
            </w:pPr>
          </w:p>
        </w:tc>
      </w:tr>
      <w:tr w:rsidR="00630C17" w14:paraId="28B87DE9" w14:textId="77777777" w:rsidTr="00630C1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30C17" w14:paraId="773F02F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30C17" w14:paraId="175A32B6" w14:textId="77777777">
                    <w:trPr>
                      <w:tblCellSpacing w:w="0" w:type="dxa"/>
                      <w:jc w:val="center"/>
                    </w:trPr>
                    <w:tc>
                      <w:tcPr>
                        <w:tcW w:w="3000" w:type="dxa"/>
                        <w:tcMar>
                          <w:top w:w="30" w:type="dxa"/>
                          <w:left w:w="75" w:type="dxa"/>
                          <w:bottom w:w="30" w:type="dxa"/>
                          <w:right w:w="75" w:type="dxa"/>
                        </w:tcMar>
                        <w:hideMark/>
                      </w:tcPr>
                      <w:p w14:paraId="44FBC239" w14:textId="77777777" w:rsidR="00630C17" w:rsidRDefault="00630C17">
                        <w:pPr>
                          <w:pStyle w:val="Heading4"/>
                          <w:jc w:val="center"/>
                          <w:rPr>
                            <w:rFonts w:eastAsia="Times New Roman"/>
                          </w:rPr>
                        </w:pPr>
                        <w:r>
                          <w:rPr>
                            <w:rFonts w:eastAsia="Times New Roman"/>
                          </w:rPr>
                          <w:lastRenderedPageBreak/>
                          <w:t>Pharmaceutical Services Negotiating Committee</w:t>
                        </w:r>
                      </w:p>
                      <w:p w14:paraId="0956EDAF" w14:textId="24855B3D" w:rsidR="00630C17" w:rsidRDefault="00630C1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3E4994E" wp14:editId="1A32A8E0">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3DA10F0" wp14:editId="63BB09DF">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C8AB98" wp14:editId="19F07D1E">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6BA8FA" wp14:editId="22D52FBB">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6E91868" w14:textId="77777777" w:rsidR="00630C17" w:rsidRDefault="00630C1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30C17" w14:paraId="26344389" w14:textId="77777777" w:rsidTr="00630C17">
                    <w:trPr>
                      <w:trHeight w:val="20"/>
                      <w:tblCellSpacing w:w="0" w:type="dxa"/>
                      <w:jc w:val="center"/>
                    </w:trPr>
                    <w:tc>
                      <w:tcPr>
                        <w:tcW w:w="9000" w:type="dxa"/>
                        <w:tcMar>
                          <w:top w:w="150" w:type="dxa"/>
                          <w:left w:w="0" w:type="dxa"/>
                          <w:bottom w:w="0" w:type="dxa"/>
                          <w:right w:w="0" w:type="dxa"/>
                        </w:tcMar>
                        <w:vAlign w:val="center"/>
                        <w:hideMark/>
                      </w:tcPr>
                      <w:p w14:paraId="7A583D4A" w14:textId="0F427A0B" w:rsidR="00630C17" w:rsidRDefault="00630C17" w:rsidP="00630C17">
                        <w:pPr>
                          <w:rPr>
                            <w:rFonts w:ascii="Arial" w:eastAsia="Times New Roman" w:hAnsi="Arial" w:cs="Arial"/>
                            <w:color w:val="FFFFFF"/>
                            <w:sz w:val="17"/>
                            <w:szCs w:val="17"/>
                          </w:rPr>
                        </w:pPr>
                      </w:p>
                    </w:tc>
                  </w:tr>
                </w:tbl>
                <w:p w14:paraId="3E0F97CA" w14:textId="77777777" w:rsidR="00630C17" w:rsidRDefault="00630C17">
                  <w:pPr>
                    <w:jc w:val="center"/>
                    <w:rPr>
                      <w:rFonts w:ascii="Times New Roman" w:eastAsia="Times New Roman" w:hAnsi="Times New Roman" w:cs="Times New Roman"/>
                      <w:sz w:val="20"/>
                      <w:szCs w:val="20"/>
                    </w:rPr>
                  </w:pPr>
                </w:p>
              </w:tc>
            </w:tr>
          </w:tbl>
          <w:p w14:paraId="47627F3F" w14:textId="77777777" w:rsidR="00630C17" w:rsidRDefault="00630C17">
            <w:pPr>
              <w:jc w:val="center"/>
              <w:rPr>
                <w:rFonts w:ascii="Times New Roman" w:eastAsia="Times New Roman" w:hAnsi="Times New Roman" w:cs="Times New Roman"/>
                <w:sz w:val="20"/>
                <w:szCs w:val="20"/>
              </w:rPr>
            </w:pPr>
          </w:p>
        </w:tc>
      </w:tr>
    </w:tbl>
    <w:p w14:paraId="48C32E4F" w14:textId="15937912" w:rsidR="00630C17" w:rsidRDefault="00630C17" w:rsidP="00630C17">
      <w:pPr>
        <w:rPr>
          <w:rFonts w:eastAsia="Times New Roman"/>
        </w:rPr>
      </w:pPr>
      <w:r>
        <w:rPr>
          <w:rFonts w:eastAsia="Times New Roman"/>
          <w:noProof/>
        </w:rPr>
        <w:drawing>
          <wp:inline distT="0" distB="0" distL="0" distR="0" wp14:anchorId="6D3E78F3" wp14:editId="6562ACF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C2FF2A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17"/>
    <w:rsid w:val="00630C1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B48B"/>
  <w15:chartTrackingRefBased/>
  <w15:docId w15:val="{52F11281-80FB-4B33-9E10-EC7F4F58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17"/>
    <w:rPr>
      <w:rFonts w:ascii="Calibri" w:hAnsi="Calibri" w:cs="Calibri"/>
      <w:lang w:eastAsia="en-GB"/>
    </w:rPr>
  </w:style>
  <w:style w:type="paragraph" w:styleId="Heading1">
    <w:name w:val="heading 1"/>
    <w:basedOn w:val="Normal"/>
    <w:link w:val="Heading1Char"/>
    <w:uiPriority w:val="9"/>
    <w:qFormat/>
    <w:rsid w:val="00630C1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30C1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30C1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30C1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1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30C1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30C1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30C17"/>
    <w:rPr>
      <w:rFonts w:ascii="Tahoma" w:hAnsi="Tahoma" w:cs="Tahoma"/>
      <w:b/>
      <w:bCs/>
      <w:color w:val="FFFFFF"/>
      <w:sz w:val="18"/>
      <w:szCs w:val="18"/>
      <w:lang w:eastAsia="en-GB"/>
    </w:rPr>
  </w:style>
  <w:style w:type="paragraph" w:styleId="NormalWeb">
    <w:name w:val="Normal (Web)"/>
    <w:basedOn w:val="Normal"/>
    <w:uiPriority w:val="99"/>
    <w:semiHidden/>
    <w:unhideWhenUsed/>
    <w:rsid w:val="00630C17"/>
    <w:pPr>
      <w:spacing w:before="100" w:beforeAutospacing="1" w:after="100" w:afterAutospacing="1"/>
    </w:pPr>
  </w:style>
  <w:style w:type="character" w:styleId="Strong">
    <w:name w:val="Strong"/>
    <w:basedOn w:val="DefaultParagraphFont"/>
    <w:uiPriority w:val="22"/>
    <w:qFormat/>
    <w:rsid w:val="00630C17"/>
    <w:rPr>
      <w:b/>
      <w:bCs/>
    </w:rPr>
  </w:style>
  <w:style w:type="character" w:styleId="Hyperlink">
    <w:name w:val="Hyperlink"/>
    <w:basedOn w:val="DefaultParagraphFont"/>
    <w:uiPriority w:val="99"/>
    <w:semiHidden/>
    <w:unhideWhenUsed/>
    <w:rsid w:val="00630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4f2c22278&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6c38a43cde&amp;e=d19e9fd41c" TargetMode="External"/><Relationship Id="rId25" Type="http://schemas.openxmlformats.org/officeDocument/2006/relationships/image" Target="https://psnc.us7.list-manage.com/track/open.php?u=86d41ab7fa4c7c2c5d7210782&amp;id=f7a1ce4218&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d9750b673d&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8dfdcb5427&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4ba6649dd6&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fbd130c53&amp;e=d19e9fd41c" TargetMode="External"/><Relationship Id="rId14" Type="http://schemas.openxmlformats.org/officeDocument/2006/relationships/hyperlink" Target="https://psnc.us7.list-manage.com/track/click?u=86d41ab7fa4c7c2c5d7210782&amp;id=26f95d2d4a&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2023-03-13T14:17:00Z</dcterms:created>
  <dcterms:modified xsi:type="dcterms:W3CDTF">2023-03-13T14:18:00Z</dcterms:modified>
</cp:coreProperties>
</file>