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F256B" w14:paraId="55CDC8C3" w14:textId="77777777" w:rsidTr="00CF256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F256B" w14:paraId="069B983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F256B" w14:paraId="718ECBFB" w14:textId="77777777">
                    <w:trPr>
                      <w:tblCellSpacing w:w="0" w:type="dxa"/>
                      <w:jc w:val="center"/>
                    </w:trPr>
                    <w:tc>
                      <w:tcPr>
                        <w:tcW w:w="3000" w:type="dxa"/>
                        <w:hideMark/>
                      </w:tcPr>
                      <w:p w14:paraId="6369EBFA" w14:textId="37C11C04" w:rsidR="00CF256B" w:rsidRDefault="00CF256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E34472F" w14:textId="77777777" w:rsidR="00CF256B" w:rsidRDefault="00CF256B">
                  <w:pPr>
                    <w:jc w:val="center"/>
                    <w:rPr>
                      <w:rFonts w:ascii="Times New Roman" w:eastAsia="Times New Roman" w:hAnsi="Times New Roman" w:cs="Times New Roman"/>
                      <w:sz w:val="20"/>
                      <w:szCs w:val="20"/>
                    </w:rPr>
                  </w:pPr>
                </w:p>
              </w:tc>
            </w:tr>
            <w:tr w:rsidR="00CF256B" w14:paraId="3A960CC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F256B" w14:paraId="7C517B1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99CB827" w14:textId="2F70A430" w:rsidR="00CF256B" w:rsidRDefault="00CF256B">
                        <w:pPr>
                          <w:jc w:val="center"/>
                          <w:rPr>
                            <w:rFonts w:eastAsia="Times New Roman"/>
                          </w:rPr>
                        </w:pPr>
                        <w:r>
                          <w:rPr>
                            <w:rFonts w:eastAsia="Times New Roman"/>
                            <w:noProof/>
                          </w:rPr>
                          <w:drawing>
                            <wp:inline distT="0" distB="0" distL="0" distR="0" wp14:anchorId="74DF96D4" wp14:editId="228DA7F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F256B" w14:paraId="3EED0529" w14:textId="77777777">
                    <w:trPr>
                      <w:tblCellSpacing w:w="0" w:type="dxa"/>
                    </w:trPr>
                    <w:tc>
                      <w:tcPr>
                        <w:tcW w:w="0" w:type="auto"/>
                        <w:vMerge/>
                        <w:tcBorders>
                          <w:top w:val="nil"/>
                          <w:left w:val="nil"/>
                          <w:bottom w:val="single" w:sz="2" w:space="0" w:color="FFFFFF"/>
                          <w:right w:val="nil"/>
                        </w:tcBorders>
                        <w:vAlign w:val="center"/>
                        <w:hideMark/>
                      </w:tcPr>
                      <w:p w14:paraId="5CEC3A22" w14:textId="77777777" w:rsidR="00CF256B" w:rsidRDefault="00CF256B">
                        <w:pPr>
                          <w:rPr>
                            <w:rFonts w:eastAsia="Times New Roman"/>
                          </w:rPr>
                        </w:pPr>
                      </w:p>
                    </w:tc>
                    <w:tc>
                      <w:tcPr>
                        <w:tcW w:w="3450" w:type="dxa"/>
                        <w:tcBorders>
                          <w:top w:val="nil"/>
                          <w:left w:val="nil"/>
                          <w:bottom w:val="nil"/>
                          <w:right w:val="nil"/>
                        </w:tcBorders>
                        <w:vAlign w:val="center"/>
                        <w:hideMark/>
                      </w:tcPr>
                      <w:p w14:paraId="6D7F1246" w14:textId="77777777" w:rsidR="00CF256B" w:rsidRDefault="00CF256B">
                        <w:pPr>
                          <w:pStyle w:val="Heading1"/>
                          <w:rPr>
                            <w:rFonts w:eastAsia="Times New Roman"/>
                          </w:rPr>
                        </w:pPr>
                        <w:r>
                          <w:rPr>
                            <w:rFonts w:eastAsia="Times New Roman"/>
                          </w:rPr>
                          <w:t>PSNC Newsletter</w:t>
                        </w:r>
                      </w:p>
                    </w:tc>
                  </w:tr>
                  <w:tr w:rsidR="00CF256B" w14:paraId="11016EDC" w14:textId="77777777">
                    <w:trPr>
                      <w:tblCellSpacing w:w="0" w:type="dxa"/>
                    </w:trPr>
                    <w:tc>
                      <w:tcPr>
                        <w:tcW w:w="0" w:type="auto"/>
                        <w:vMerge/>
                        <w:tcBorders>
                          <w:top w:val="nil"/>
                          <w:left w:val="nil"/>
                          <w:bottom w:val="single" w:sz="2" w:space="0" w:color="FFFFFF"/>
                          <w:right w:val="nil"/>
                        </w:tcBorders>
                        <w:vAlign w:val="center"/>
                        <w:hideMark/>
                      </w:tcPr>
                      <w:p w14:paraId="25EBC7F1" w14:textId="77777777" w:rsidR="00CF256B" w:rsidRDefault="00CF256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1623E6B" w14:textId="77777777" w:rsidR="00CF256B" w:rsidRDefault="00CF256B">
                        <w:pPr>
                          <w:pStyle w:val="Heading2"/>
                          <w:rPr>
                            <w:rFonts w:eastAsia="Times New Roman"/>
                            <w:color w:val="93378A"/>
                          </w:rPr>
                        </w:pPr>
                        <w:r>
                          <w:rPr>
                            <w:rFonts w:eastAsia="Times New Roman"/>
                            <w:color w:val="93378A"/>
                          </w:rPr>
                          <w:t>Wednesday 1st February 2023</w:t>
                        </w:r>
                      </w:p>
                    </w:tc>
                  </w:tr>
                </w:tbl>
                <w:p w14:paraId="7F06952E" w14:textId="77777777" w:rsidR="00CF256B" w:rsidRDefault="00CF256B">
                  <w:pPr>
                    <w:rPr>
                      <w:rFonts w:ascii="Times New Roman" w:eastAsia="Times New Roman" w:hAnsi="Times New Roman" w:cs="Times New Roman"/>
                      <w:sz w:val="20"/>
                      <w:szCs w:val="20"/>
                    </w:rPr>
                  </w:pPr>
                </w:p>
              </w:tc>
            </w:tr>
            <w:tr w:rsidR="00CF256B" w14:paraId="34E3E16A" w14:textId="77777777">
              <w:tblPrEx>
                <w:shd w:val="clear" w:color="auto" w:fill="auto"/>
              </w:tblPrEx>
              <w:trPr>
                <w:tblCellSpacing w:w="0" w:type="dxa"/>
                <w:jc w:val="center"/>
              </w:trPr>
              <w:tc>
                <w:tcPr>
                  <w:tcW w:w="9000" w:type="dxa"/>
                  <w:hideMark/>
                </w:tcPr>
                <w:p w14:paraId="297627DC" w14:textId="17D98A32" w:rsidR="00CF256B" w:rsidRDefault="00CF256B">
                  <w:pPr>
                    <w:rPr>
                      <w:rFonts w:eastAsia="Times New Roman"/>
                    </w:rPr>
                  </w:pPr>
                  <w:r>
                    <w:rPr>
                      <w:rFonts w:eastAsia="Times New Roman"/>
                      <w:noProof/>
                    </w:rPr>
                    <w:drawing>
                      <wp:inline distT="0" distB="0" distL="0" distR="0" wp14:anchorId="40AA4697" wp14:editId="28491C9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F256B" w14:paraId="09C86C7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CF256B" w14:paraId="57B50D36" w14:textId="77777777">
                    <w:trPr>
                      <w:trHeight w:val="150"/>
                      <w:tblCellSpacing w:w="15" w:type="dxa"/>
                      <w:jc w:val="center"/>
                    </w:trPr>
                    <w:tc>
                      <w:tcPr>
                        <w:tcW w:w="150" w:type="dxa"/>
                        <w:vAlign w:val="center"/>
                        <w:hideMark/>
                      </w:tcPr>
                      <w:p w14:paraId="254B65B8" w14:textId="77777777" w:rsidR="00CF256B" w:rsidRDefault="00CF256B">
                        <w:pPr>
                          <w:rPr>
                            <w:rFonts w:eastAsia="Times New Roman"/>
                          </w:rPr>
                        </w:pPr>
                      </w:p>
                    </w:tc>
                    <w:tc>
                      <w:tcPr>
                        <w:tcW w:w="8700" w:type="dxa"/>
                        <w:vAlign w:val="center"/>
                        <w:hideMark/>
                      </w:tcPr>
                      <w:p w14:paraId="5889FEE3" w14:textId="77777777" w:rsidR="00CF256B" w:rsidRDefault="00CF256B">
                        <w:pPr>
                          <w:rPr>
                            <w:rFonts w:ascii="Times New Roman" w:eastAsia="Times New Roman" w:hAnsi="Times New Roman" w:cs="Times New Roman"/>
                            <w:sz w:val="20"/>
                            <w:szCs w:val="20"/>
                          </w:rPr>
                        </w:pPr>
                      </w:p>
                    </w:tc>
                    <w:tc>
                      <w:tcPr>
                        <w:tcW w:w="150" w:type="dxa"/>
                        <w:vAlign w:val="center"/>
                        <w:hideMark/>
                      </w:tcPr>
                      <w:p w14:paraId="41042966" w14:textId="77777777" w:rsidR="00CF256B" w:rsidRDefault="00CF256B">
                        <w:pPr>
                          <w:rPr>
                            <w:rFonts w:ascii="Times New Roman" w:eastAsia="Times New Roman" w:hAnsi="Times New Roman" w:cs="Times New Roman"/>
                            <w:sz w:val="20"/>
                            <w:szCs w:val="20"/>
                          </w:rPr>
                        </w:pPr>
                      </w:p>
                    </w:tc>
                  </w:tr>
                  <w:tr w:rsidR="00CF256B" w14:paraId="6C7EBB3A" w14:textId="77777777">
                    <w:trPr>
                      <w:tblCellSpacing w:w="15" w:type="dxa"/>
                      <w:jc w:val="center"/>
                    </w:trPr>
                    <w:tc>
                      <w:tcPr>
                        <w:tcW w:w="150" w:type="dxa"/>
                        <w:vAlign w:val="center"/>
                        <w:hideMark/>
                      </w:tcPr>
                      <w:p w14:paraId="57C8C4AE" w14:textId="77777777" w:rsidR="00CF256B" w:rsidRDefault="00CF256B">
                        <w:pPr>
                          <w:rPr>
                            <w:rFonts w:ascii="Times New Roman" w:eastAsia="Times New Roman" w:hAnsi="Times New Roman" w:cs="Times New Roman"/>
                            <w:sz w:val="20"/>
                            <w:szCs w:val="20"/>
                          </w:rPr>
                        </w:pPr>
                      </w:p>
                    </w:tc>
                    <w:tc>
                      <w:tcPr>
                        <w:tcW w:w="8700" w:type="dxa"/>
                        <w:vAlign w:val="center"/>
                        <w:hideMark/>
                      </w:tcPr>
                      <w:p w14:paraId="4C2E2EE9"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2CA8979"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62F595">
                            <v:rect id="_x0000_i1032" style="width:468pt;height:1.5pt" o:hrstd="t" o:hr="t" fillcolor="#a0a0a0" stroked="f"/>
                          </w:pict>
                        </w:r>
                      </w:p>
                      <w:p w14:paraId="4F089EDA" w14:textId="77777777" w:rsidR="00CF256B" w:rsidRDefault="00CF256B" w:rsidP="00CF256B">
                        <w:pPr>
                          <w:pStyle w:val="Heading2"/>
                          <w:spacing w:after="0"/>
                          <w:rPr>
                            <w:rFonts w:eastAsia="Times New Roman"/>
                          </w:rPr>
                        </w:pPr>
                        <w:r>
                          <w:rPr>
                            <w:rFonts w:eastAsia="Times New Roman"/>
                          </w:rPr>
                          <w:t>In this update: Joint plea to Prime Minister for support; help increase signatories to an MP letter to Health Secretary; Pharmacy Pressures Survey; Dispensing and Supply Updates.</w:t>
                        </w:r>
                      </w:p>
                      <w:p w14:paraId="18C2FE5E"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743017">
                            <v:rect id="_x0000_i1033" style="width:468pt;height:1.5pt" o:hrstd="t" o:hr="t" fillcolor="#a0a0a0" stroked="f"/>
                          </w:pict>
                        </w:r>
                      </w:p>
                      <w:p w14:paraId="0BA52894" w14:textId="77777777" w:rsidR="00CF256B" w:rsidRDefault="00CF256B" w:rsidP="00CF256B">
                        <w:pPr>
                          <w:pStyle w:val="Heading2"/>
                          <w:spacing w:after="0"/>
                          <w:rPr>
                            <w:rFonts w:eastAsia="Times New Roman"/>
                          </w:rPr>
                        </w:pPr>
                        <w:r>
                          <w:rPr>
                            <w:rFonts w:eastAsia="Times New Roman"/>
                          </w:rPr>
                          <w:t xml:space="preserve">Pharmacy leaders urge Rishi Sunak to invest in </w:t>
                        </w:r>
                        <w:proofErr w:type="gramStart"/>
                        <w:r>
                          <w:rPr>
                            <w:rFonts w:eastAsia="Times New Roman"/>
                          </w:rPr>
                          <w:t>sector</w:t>
                        </w:r>
                        <w:proofErr w:type="gramEnd"/>
                      </w:p>
                      <w:p w14:paraId="5A1273BB" w14:textId="073F5780"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Together with a collective of community pharmacy national representative bodies and England’s largest pharmacy chains, PSNC has written to the Prime Minister, Rishi Sunak, calling on the Government to help pharmacy to resolve the funding, workforce and capacity issues engulfing the sector. </w:t>
                        </w:r>
                      </w:p>
                      <w:p w14:paraId="240C88BE" w14:textId="77777777" w:rsidR="00CF256B" w:rsidRDefault="00CF256B" w:rsidP="00CF256B">
                        <w:pPr>
                          <w:spacing w:line="264" w:lineRule="auto"/>
                          <w:rPr>
                            <w:rFonts w:ascii="Tahoma" w:eastAsia="Times New Roman" w:hAnsi="Tahoma" w:cs="Tahoma"/>
                            <w:color w:val="303030"/>
                            <w:sz w:val="21"/>
                            <w:szCs w:val="21"/>
                          </w:rPr>
                        </w:pPr>
                      </w:p>
                      <w:p w14:paraId="10EEAF18" w14:textId="0FE6A031" w:rsidR="00CF256B" w:rsidRDefault="00CF256B" w:rsidP="00CF256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letter warns the Prime Minister that without intervention we are moving towards large numbers of permanent pharmacy closures with many pharmacy owners concerned that they may not survive this year. </w:t>
                        </w:r>
                      </w:p>
                      <w:p w14:paraId="1D9C3000" w14:textId="77777777" w:rsidR="00CF256B" w:rsidRDefault="00CF256B" w:rsidP="00CF256B">
                        <w:pPr>
                          <w:pStyle w:val="NormalWeb"/>
                          <w:spacing w:before="0" w:beforeAutospacing="0" w:after="0" w:afterAutospacing="0" w:line="264" w:lineRule="auto"/>
                          <w:rPr>
                            <w:rFonts w:ascii="Tahoma" w:hAnsi="Tahoma" w:cs="Tahoma"/>
                            <w:color w:val="303030"/>
                            <w:sz w:val="21"/>
                            <w:szCs w:val="21"/>
                          </w:rPr>
                        </w:pPr>
                      </w:p>
                      <w:p w14:paraId="2FBFDD3F" w14:textId="0BEA2C52" w:rsidR="00CF256B" w:rsidRDefault="00CF256B" w:rsidP="00CF256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PSNC CEO Janet Morrison </w:t>
                        </w:r>
                        <w:hyperlink r:id="rId9" w:tgtFrame="_blank" w:history="1">
                          <w:r>
                            <w:rPr>
                              <w:rStyle w:val="Hyperlink"/>
                              <w:rFonts w:ascii="Tahoma" w:hAnsi="Tahoma" w:cs="Tahoma"/>
                              <w:b/>
                              <w:bCs/>
                              <w:color w:val="4E3487"/>
                              <w:sz w:val="21"/>
                              <w:szCs w:val="21"/>
                            </w:rPr>
                            <w:t>told the Daily Mail yesterday</w:t>
                          </w:r>
                        </w:hyperlink>
                        <w:r>
                          <w:rPr>
                            <w:rFonts w:ascii="Tahoma" w:hAnsi="Tahoma" w:cs="Tahoma"/>
                            <w:color w:val="303030"/>
                            <w:sz w:val="21"/>
                            <w:szCs w:val="21"/>
                          </w:rPr>
                          <w:t>, “This is a critical time for community pharmacy and… the PM should know that community pharmacies need sustainable investment, urgently, to avoid devastating consequences.”</w:t>
                        </w:r>
                      </w:p>
                      <w:p w14:paraId="31B301BC" w14:textId="77777777" w:rsidR="00CF256B" w:rsidRDefault="00CF256B" w:rsidP="00CF256B">
                        <w:pPr>
                          <w:pStyle w:val="NormalWeb"/>
                          <w:spacing w:before="0" w:beforeAutospacing="0" w:after="0" w:afterAutospacing="0" w:line="264" w:lineRule="auto"/>
                          <w:rPr>
                            <w:rFonts w:ascii="Tahoma" w:hAnsi="Tahoma" w:cs="Tahoma"/>
                            <w:color w:val="303030"/>
                            <w:sz w:val="21"/>
                            <w:szCs w:val="21"/>
                          </w:rPr>
                        </w:pPr>
                      </w:p>
                      <w:p w14:paraId="6E979632" w14:textId="77777777" w:rsidR="00CF256B" w:rsidRDefault="00CF256B" w:rsidP="00CF256B">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Read the joint letter to the Prime Minister</w:t>
                          </w:r>
                        </w:hyperlink>
                        <w:r>
                          <w:rPr>
                            <w:rFonts w:ascii="Tahoma" w:eastAsia="Times New Roman" w:hAnsi="Tahoma" w:cs="Tahoma"/>
                            <w:color w:val="303030"/>
                            <w:sz w:val="21"/>
                            <w:szCs w:val="21"/>
                          </w:rPr>
                          <w:t xml:space="preserve"> </w:t>
                        </w:r>
                      </w:p>
                      <w:p w14:paraId="4869F3F9"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65CFD3">
                            <v:rect id="_x0000_i1034" style="width:468pt;height:1.5pt" o:hrstd="t" o:hr="t" fillcolor="#a0a0a0" stroked="f"/>
                          </w:pict>
                        </w:r>
                      </w:p>
                      <w:p w14:paraId="23C18262" w14:textId="77777777" w:rsidR="00CF256B" w:rsidRDefault="00CF256B" w:rsidP="00CF256B">
                        <w:pPr>
                          <w:pStyle w:val="Heading2"/>
                          <w:spacing w:after="0"/>
                          <w:rPr>
                            <w:rFonts w:eastAsia="Times New Roman"/>
                          </w:rPr>
                        </w:pPr>
                        <w:r>
                          <w:rPr>
                            <w:rFonts w:eastAsia="Times New Roman"/>
                          </w:rPr>
                          <w:t>MP letter to Health Secretary</w:t>
                        </w:r>
                      </w:p>
                      <w:p w14:paraId="51B3A4CB"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another means of applying pressure on the Government about the critical pharmacy funding situation, we are facilitating the sending of a letter from MPs and peers to the Health Secretary. The letter raises the deep and growing concern over the unprecedented pressures facing the community pharmacy sector in England.</w:t>
                        </w:r>
                        <w:r>
                          <w:rPr>
                            <w:rFonts w:ascii="Tahoma" w:eastAsia="Times New Roman" w:hAnsi="Tahoma" w:cs="Tahoma"/>
                            <w:color w:val="303030"/>
                            <w:sz w:val="21"/>
                            <w:szCs w:val="21"/>
                          </w:rPr>
                          <w:br/>
                        </w:r>
                        <w:r>
                          <w:rPr>
                            <w:rFonts w:ascii="Tahoma" w:eastAsia="Times New Roman" w:hAnsi="Tahoma" w:cs="Tahoma"/>
                            <w:color w:val="303030"/>
                            <w:sz w:val="21"/>
                            <w:szCs w:val="21"/>
                          </w:rPr>
                          <w:br/>
                          <w:t>We would be extremely grateful if as many contractors as possible could encourage their local MP (excluding Government Ministers) to sign the letter by </w:t>
                        </w:r>
                        <w:r>
                          <w:rPr>
                            <w:rStyle w:val="Strong"/>
                            <w:rFonts w:ascii="Tahoma" w:eastAsia="Times New Roman" w:hAnsi="Tahoma" w:cs="Tahoma"/>
                            <w:color w:val="303030"/>
                            <w:sz w:val="21"/>
                            <w:szCs w:val="21"/>
                          </w:rPr>
                          <w:t>Friday 3rd February</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Get involved</w:t>
                          </w:r>
                        </w:hyperlink>
                        <w:r>
                          <w:rPr>
                            <w:rFonts w:ascii="Tahoma" w:eastAsia="Times New Roman" w:hAnsi="Tahoma" w:cs="Tahoma"/>
                            <w:color w:val="303030"/>
                            <w:sz w:val="21"/>
                            <w:szCs w:val="21"/>
                          </w:rPr>
                          <w:t xml:space="preserve"> </w:t>
                        </w:r>
                      </w:p>
                      <w:p w14:paraId="73C5EC9D"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E2BA07">
                            <v:rect id="_x0000_i1035" style="width:468pt;height:1.5pt" o:hrstd="t" o:hr="t" fillcolor="#a0a0a0" stroked="f"/>
                          </w:pict>
                        </w:r>
                      </w:p>
                      <w:p w14:paraId="0B134052" w14:textId="77777777" w:rsidR="00CF256B" w:rsidRDefault="00CF256B" w:rsidP="00CF256B">
                        <w:pPr>
                          <w:pStyle w:val="Heading2"/>
                          <w:spacing w:after="0"/>
                          <w:rPr>
                            <w:rFonts w:eastAsia="Times New Roman"/>
                          </w:rPr>
                        </w:pPr>
                        <w:r>
                          <w:rPr>
                            <w:rFonts w:eastAsia="Times New Roman"/>
                          </w:rPr>
                          <w:t xml:space="preserve">Pharmacy Pressures Survey: Please take </w:t>
                        </w:r>
                        <w:proofErr w:type="gramStart"/>
                        <w:r>
                          <w:rPr>
                            <w:rFonts w:eastAsia="Times New Roman"/>
                          </w:rPr>
                          <w:t>part</w:t>
                        </w:r>
                        <w:proofErr w:type="gramEnd"/>
                        <w:r>
                          <w:rPr>
                            <w:rFonts w:eastAsia="Times New Roman"/>
                          </w:rPr>
                          <w:t>  </w:t>
                        </w:r>
                      </w:p>
                      <w:p w14:paraId="7C9731DF"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PSNC has launched a nationwide Pharmacy Pressures Survey which will give us important data for use in future negotiations. Please help us make the case to Government for more funding by completing the surveys via the links below. </w:t>
                        </w:r>
                      </w:p>
                      <w:p w14:paraId="4F613F08" w14:textId="77777777" w:rsidR="00CF256B" w:rsidRDefault="00CF256B" w:rsidP="00CF256B">
                        <w:pPr>
                          <w:numPr>
                            <w:ilvl w:val="0"/>
                            <w:numId w:val="1"/>
                          </w:numPr>
                          <w:spacing w:line="264" w:lineRule="auto"/>
                          <w:rPr>
                            <w:rFonts w:ascii="Tahoma" w:eastAsia="Times New Roman" w:hAnsi="Tahoma" w:cs="Tahoma"/>
                            <w:color w:val="303030"/>
                            <w:sz w:val="21"/>
                            <w:szCs w:val="21"/>
                          </w:rPr>
                        </w:pPr>
                        <w:hyperlink r:id="rId12" w:tgtFrame="_blank" w:history="1">
                          <w:r>
                            <w:rPr>
                              <w:rStyle w:val="Strong"/>
                              <w:rFonts w:ascii="Tahoma" w:eastAsia="Times New Roman" w:hAnsi="Tahoma" w:cs="Tahoma"/>
                              <w:color w:val="4E3487"/>
                              <w:sz w:val="21"/>
                              <w:szCs w:val="21"/>
                            </w:rPr>
                            <w:t>Pharmacy business owners/head office representatives survey</w:t>
                          </w:r>
                        </w:hyperlink>
                      </w:p>
                      <w:p w14:paraId="60BBFC08" w14:textId="77777777" w:rsidR="00CF256B" w:rsidRDefault="00CF256B" w:rsidP="00CF256B">
                        <w:pPr>
                          <w:numPr>
                            <w:ilvl w:val="0"/>
                            <w:numId w:val="1"/>
                          </w:numPr>
                          <w:spacing w:line="264" w:lineRule="auto"/>
                          <w:rPr>
                            <w:rFonts w:ascii="Tahoma" w:eastAsia="Times New Roman" w:hAnsi="Tahoma" w:cs="Tahoma"/>
                            <w:color w:val="303030"/>
                            <w:sz w:val="21"/>
                            <w:szCs w:val="21"/>
                          </w:rPr>
                        </w:pPr>
                        <w:hyperlink r:id="rId13" w:tgtFrame="_blank" w:history="1">
                          <w:r>
                            <w:rPr>
                              <w:rStyle w:val="Strong"/>
                              <w:rFonts w:ascii="Tahoma" w:eastAsia="Times New Roman" w:hAnsi="Tahoma" w:cs="Tahoma"/>
                              <w:color w:val="4E3487"/>
                              <w:sz w:val="21"/>
                              <w:szCs w:val="21"/>
                            </w:rPr>
                            <w:t>Pharmacy teams survey</w:t>
                          </w:r>
                        </w:hyperlink>
                      </w:p>
                      <w:p w14:paraId="783234E8" w14:textId="77777777" w:rsidR="00CF256B" w:rsidRDefault="00CF256B" w:rsidP="00CF256B">
                        <w:pPr>
                          <w:pStyle w:val="NormalWeb"/>
                          <w:spacing w:before="0" w:beforeAutospacing="0" w:after="0" w:afterAutospacing="0" w:line="264" w:lineRule="auto"/>
                          <w:rPr>
                            <w:rFonts w:ascii="Tahoma" w:hAnsi="Tahoma" w:cs="Tahoma"/>
                            <w:color w:val="303030"/>
                            <w:sz w:val="21"/>
                            <w:szCs w:val="21"/>
                          </w:rPr>
                        </w:pPr>
                      </w:p>
                      <w:p w14:paraId="26C0AEDA" w14:textId="3B5648C3" w:rsidR="00CF256B" w:rsidRDefault="00CF256B" w:rsidP="00CF256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You can also now download a copy of the survey questions here: </w:t>
                        </w:r>
                        <w:hyperlink r:id="rId14" w:tgtFrame="_blank" w:history="1">
                          <w:r>
                            <w:rPr>
                              <w:rStyle w:val="Strong"/>
                              <w:rFonts w:ascii="Tahoma" w:hAnsi="Tahoma" w:cs="Tahoma"/>
                              <w:color w:val="4E3487"/>
                              <w:sz w:val="21"/>
                              <w:szCs w:val="21"/>
                            </w:rPr>
                            <w:t>Learn more about the survey</w:t>
                          </w:r>
                        </w:hyperlink>
                      </w:p>
                      <w:p w14:paraId="4900A2E8" w14:textId="77777777" w:rsidR="00CF256B" w:rsidRDefault="00CF256B" w:rsidP="00CF256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07796E">
                            <v:rect id="_x0000_i1036" style="width:468pt;height:1.5pt" o:hrstd="t" o:hr="t" fillcolor="#a0a0a0" stroked="f"/>
                          </w:pict>
                        </w:r>
                      </w:p>
                      <w:p w14:paraId="38768396" w14:textId="77777777" w:rsidR="00CF256B" w:rsidRDefault="00CF256B" w:rsidP="00CF256B">
                        <w:pPr>
                          <w:pStyle w:val="Heading2"/>
                          <w:spacing w:after="0"/>
                          <w:rPr>
                            <w:rFonts w:eastAsia="Times New Roman"/>
                          </w:rPr>
                        </w:pPr>
                        <w:r>
                          <w:rPr>
                            <w:rFonts w:eastAsia="Times New Roman"/>
                          </w:rPr>
                          <w:t>Dispensing and Supply Updates</w:t>
                        </w:r>
                      </w:p>
                      <w:p w14:paraId="35A2DB26" w14:textId="77777777" w:rsidR="00CF256B" w:rsidRDefault="00CF256B" w:rsidP="00CF256B">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Pen V SSPs updated</w:t>
                        </w:r>
                        <w:r>
                          <w:rPr>
                            <w:rFonts w:ascii="Tahoma" w:eastAsia="Times New Roman" w:hAnsi="Tahoma" w:cs="Tahoma"/>
                            <w:color w:val="303030"/>
                            <w:sz w:val="21"/>
                            <w:szCs w:val="21"/>
                          </w:rPr>
                          <w:br/>
                          <w:t xml:space="preserve">The expiry dates for </w:t>
                        </w:r>
                        <w:r>
                          <w:rPr>
                            <w:rStyle w:val="Strong"/>
                            <w:rFonts w:ascii="Tahoma" w:eastAsia="Times New Roman" w:hAnsi="Tahoma" w:cs="Tahoma"/>
                            <w:color w:val="303030"/>
                            <w:sz w:val="21"/>
                            <w:szCs w:val="21"/>
                          </w:rPr>
                          <w:t>SSP040-SSP047</w:t>
                        </w:r>
                        <w:r>
                          <w:rPr>
                            <w:rFonts w:ascii="Tahoma" w:eastAsia="Times New Roman" w:hAnsi="Tahoma" w:cs="Tahoma"/>
                            <w:color w:val="303030"/>
                            <w:sz w:val="21"/>
                            <w:szCs w:val="21"/>
                          </w:rPr>
                          <w:t> have been extended to </w:t>
                        </w:r>
                        <w:r>
                          <w:rPr>
                            <w:rStyle w:val="Strong"/>
                            <w:rFonts w:ascii="Tahoma" w:eastAsia="Times New Roman" w:hAnsi="Tahoma" w:cs="Tahoma"/>
                            <w:color w:val="303030"/>
                            <w:sz w:val="21"/>
                            <w:szCs w:val="21"/>
                          </w:rPr>
                          <w:t>Tuesday 28th February 2023</w:t>
                        </w:r>
                        <w:r>
                          <w:rPr>
                            <w:rFonts w:ascii="Tahoma" w:eastAsia="Times New Roman" w:hAnsi="Tahoma" w:cs="Tahoma"/>
                            <w:color w:val="303030"/>
                            <w:sz w:val="21"/>
                            <w:szCs w:val="21"/>
                          </w:rPr>
                          <w:t>, and amended to remove Azithromycin and Clarithromycin as alternative antibiotics to Pen V.</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View the updates in full</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26 products added to the DND list from this month</w:t>
                        </w:r>
                        <w:r>
                          <w:rPr>
                            <w:rFonts w:ascii="Tahoma" w:eastAsia="Times New Roman" w:hAnsi="Tahoma" w:cs="Tahoma"/>
                            <w:color w:val="303030"/>
                            <w:sz w:val="21"/>
                            <w:szCs w:val="21"/>
                          </w:rPr>
                          <w:br/>
                          <w:t>Following applications made by PSNC to DHSC and the NHS Business Services Authority (NHSBSA), a further </w:t>
                        </w:r>
                        <w:r>
                          <w:rPr>
                            <w:rStyle w:val="Strong"/>
                            <w:rFonts w:ascii="Tahoma" w:eastAsia="Times New Roman" w:hAnsi="Tahoma" w:cs="Tahoma"/>
                            <w:color w:val="303030"/>
                            <w:sz w:val="21"/>
                            <w:szCs w:val="21"/>
                          </w:rPr>
                          <w:t>26 new products</w:t>
                        </w:r>
                        <w:r>
                          <w:rPr>
                            <w:rFonts w:ascii="Tahoma" w:eastAsia="Times New Roman" w:hAnsi="Tahoma" w:cs="Tahoma"/>
                            <w:color w:val="303030"/>
                            <w:sz w:val="21"/>
                            <w:szCs w:val="21"/>
                          </w:rPr>
                          <w:t xml:space="preserve"> were classed as ‘Drugs for which Discount is Not Deducted’ (DND) from </w:t>
                        </w:r>
                        <w:r>
                          <w:rPr>
                            <w:rStyle w:val="Strong"/>
                            <w:rFonts w:ascii="Tahoma" w:eastAsia="Times New Roman" w:hAnsi="Tahoma" w:cs="Tahoma"/>
                            <w:color w:val="303030"/>
                            <w:sz w:val="21"/>
                            <w:szCs w:val="21"/>
                          </w:rPr>
                          <w:t>1st February 2023</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43BE097C" w14:textId="77777777" w:rsidR="00CF256B" w:rsidRDefault="00CF256B">
                        <w:pPr>
                          <w:rPr>
                            <w:rFonts w:ascii="Tahoma" w:eastAsia="Times New Roman" w:hAnsi="Tahoma" w:cs="Tahoma"/>
                            <w:color w:val="303030"/>
                            <w:sz w:val="21"/>
                            <w:szCs w:val="21"/>
                          </w:rPr>
                        </w:pPr>
                      </w:p>
                    </w:tc>
                  </w:tr>
                  <w:tr w:rsidR="00CF256B" w14:paraId="6D97F255" w14:textId="77777777">
                    <w:trPr>
                      <w:trHeight w:val="150"/>
                      <w:tblCellSpacing w:w="15" w:type="dxa"/>
                      <w:jc w:val="center"/>
                    </w:trPr>
                    <w:tc>
                      <w:tcPr>
                        <w:tcW w:w="150" w:type="dxa"/>
                        <w:vAlign w:val="center"/>
                        <w:hideMark/>
                      </w:tcPr>
                      <w:p w14:paraId="54E19076" w14:textId="77777777" w:rsidR="00CF256B" w:rsidRDefault="00CF256B">
                        <w:pPr>
                          <w:rPr>
                            <w:rFonts w:ascii="Times New Roman" w:eastAsia="Times New Roman" w:hAnsi="Times New Roman" w:cs="Times New Roman"/>
                            <w:sz w:val="20"/>
                            <w:szCs w:val="20"/>
                          </w:rPr>
                        </w:pPr>
                      </w:p>
                    </w:tc>
                    <w:tc>
                      <w:tcPr>
                        <w:tcW w:w="8700" w:type="dxa"/>
                        <w:vAlign w:val="center"/>
                        <w:hideMark/>
                      </w:tcPr>
                      <w:p w14:paraId="6C6FEA63" w14:textId="77777777" w:rsidR="00CF256B" w:rsidRDefault="00CF256B">
                        <w:pPr>
                          <w:rPr>
                            <w:rFonts w:ascii="Times New Roman" w:eastAsia="Times New Roman" w:hAnsi="Times New Roman" w:cs="Times New Roman"/>
                            <w:sz w:val="20"/>
                            <w:szCs w:val="20"/>
                          </w:rPr>
                        </w:pPr>
                      </w:p>
                    </w:tc>
                    <w:tc>
                      <w:tcPr>
                        <w:tcW w:w="150" w:type="dxa"/>
                        <w:vAlign w:val="center"/>
                        <w:hideMark/>
                      </w:tcPr>
                      <w:p w14:paraId="1C7FCAE8" w14:textId="77777777" w:rsidR="00CF256B" w:rsidRDefault="00CF256B">
                        <w:pPr>
                          <w:rPr>
                            <w:rFonts w:ascii="Times New Roman" w:eastAsia="Times New Roman" w:hAnsi="Times New Roman" w:cs="Times New Roman"/>
                            <w:sz w:val="20"/>
                            <w:szCs w:val="20"/>
                          </w:rPr>
                        </w:pPr>
                      </w:p>
                    </w:tc>
                  </w:tr>
                </w:tbl>
                <w:p w14:paraId="79388EBA" w14:textId="77777777" w:rsidR="00CF256B" w:rsidRDefault="00CF256B">
                  <w:pPr>
                    <w:jc w:val="center"/>
                    <w:rPr>
                      <w:rFonts w:ascii="Times New Roman" w:eastAsia="Times New Roman" w:hAnsi="Times New Roman" w:cs="Times New Roman"/>
                      <w:sz w:val="20"/>
                      <w:szCs w:val="20"/>
                    </w:rPr>
                  </w:pPr>
                </w:p>
              </w:tc>
            </w:tr>
          </w:tbl>
          <w:p w14:paraId="68F68EB6" w14:textId="77777777" w:rsidR="00CF256B" w:rsidRDefault="00CF256B">
            <w:pPr>
              <w:jc w:val="center"/>
              <w:rPr>
                <w:rFonts w:ascii="Times New Roman" w:eastAsia="Times New Roman" w:hAnsi="Times New Roman" w:cs="Times New Roman"/>
                <w:sz w:val="20"/>
                <w:szCs w:val="20"/>
              </w:rPr>
            </w:pPr>
          </w:p>
        </w:tc>
      </w:tr>
      <w:tr w:rsidR="00CF256B" w14:paraId="6D8ABFDD" w14:textId="77777777" w:rsidTr="00CF256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F256B" w14:paraId="46333AC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F256B" w14:paraId="224E9856" w14:textId="77777777">
                    <w:trPr>
                      <w:tblCellSpacing w:w="0" w:type="dxa"/>
                      <w:jc w:val="center"/>
                    </w:trPr>
                    <w:tc>
                      <w:tcPr>
                        <w:tcW w:w="3000" w:type="dxa"/>
                        <w:tcMar>
                          <w:top w:w="30" w:type="dxa"/>
                          <w:left w:w="75" w:type="dxa"/>
                          <w:bottom w:w="30" w:type="dxa"/>
                          <w:right w:w="75" w:type="dxa"/>
                        </w:tcMar>
                        <w:hideMark/>
                      </w:tcPr>
                      <w:p w14:paraId="529BC937" w14:textId="77777777" w:rsidR="00CF256B" w:rsidRDefault="00CF256B">
                        <w:pPr>
                          <w:pStyle w:val="Heading4"/>
                          <w:jc w:val="center"/>
                          <w:rPr>
                            <w:rFonts w:eastAsia="Times New Roman"/>
                          </w:rPr>
                        </w:pPr>
                        <w:r>
                          <w:rPr>
                            <w:rFonts w:eastAsia="Times New Roman"/>
                          </w:rPr>
                          <w:lastRenderedPageBreak/>
                          <w:t>Pharmaceutical Services Negotiating Committee</w:t>
                        </w:r>
                      </w:p>
                      <w:p w14:paraId="3D831DCB" w14:textId="638725DC" w:rsidR="00CF256B" w:rsidRDefault="00CF256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CA5777" wp14:editId="66EE6AE1">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98A364A" wp14:editId="145858A4">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51885B" wp14:editId="5FD30F23">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E8CBE0" wp14:editId="146F01AE">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A1AD447" w14:textId="77777777" w:rsidR="00CF256B" w:rsidRDefault="00CF256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F256B" w14:paraId="226243F1" w14:textId="77777777" w:rsidTr="00CF256B">
                    <w:trPr>
                      <w:trHeight w:val="59"/>
                      <w:tblCellSpacing w:w="0" w:type="dxa"/>
                      <w:jc w:val="center"/>
                    </w:trPr>
                    <w:tc>
                      <w:tcPr>
                        <w:tcW w:w="9000" w:type="dxa"/>
                        <w:tcMar>
                          <w:top w:w="150" w:type="dxa"/>
                          <w:left w:w="0" w:type="dxa"/>
                          <w:bottom w:w="0" w:type="dxa"/>
                          <w:right w:w="0" w:type="dxa"/>
                        </w:tcMar>
                        <w:vAlign w:val="center"/>
                        <w:hideMark/>
                      </w:tcPr>
                      <w:p w14:paraId="3C36EE57" w14:textId="353F7E14" w:rsidR="00CF256B" w:rsidRDefault="00CF256B" w:rsidP="00CF256B">
                        <w:pPr>
                          <w:rPr>
                            <w:rFonts w:ascii="Arial" w:eastAsia="Times New Roman" w:hAnsi="Arial" w:cs="Arial"/>
                            <w:color w:val="FFFFFF"/>
                            <w:sz w:val="17"/>
                            <w:szCs w:val="17"/>
                          </w:rPr>
                        </w:pPr>
                      </w:p>
                    </w:tc>
                  </w:tr>
                </w:tbl>
                <w:p w14:paraId="2ED54134" w14:textId="77777777" w:rsidR="00CF256B" w:rsidRDefault="00CF256B">
                  <w:pPr>
                    <w:jc w:val="center"/>
                    <w:rPr>
                      <w:rFonts w:ascii="Times New Roman" w:eastAsia="Times New Roman" w:hAnsi="Times New Roman" w:cs="Times New Roman"/>
                      <w:sz w:val="20"/>
                      <w:szCs w:val="20"/>
                    </w:rPr>
                  </w:pPr>
                </w:p>
              </w:tc>
            </w:tr>
          </w:tbl>
          <w:p w14:paraId="366220A2" w14:textId="77777777" w:rsidR="00CF256B" w:rsidRDefault="00CF256B">
            <w:pPr>
              <w:jc w:val="center"/>
              <w:rPr>
                <w:rFonts w:ascii="Times New Roman" w:eastAsia="Times New Roman" w:hAnsi="Times New Roman" w:cs="Times New Roman"/>
                <w:sz w:val="20"/>
                <w:szCs w:val="20"/>
              </w:rPr>
            </w:pPr>
          </w:p>
        </w:tc>
      </w:tr>
    </w:tbl>
    <w:p w14:paraId="7EEF7964" w14:textId="12ED5717" w:rsidR="00CF256B" w:rsidRDefault="00CF256B" w:rsidP="00CF256B">
      <w:pPr>
        <w:rPr>
          <w:rFonts w:eastAsia="Times New Roman"/>
        </w:rPr>
      </w:pPr>
      <w:r>
        <w:rPr>
          <w:rFonts w:eastAsia="Times New Roman"/>
          <w:noProof/>
        </w:rPr>
        <w:drawing>
          <wp:inline distT="0" distB="0" distL="0" distR="0" wp14:anchorId="7DE2086B" wp14:editId="61479A0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10D793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78B2"/>
    <w:multiLevelType w:val="multilevel"/>
    <w:tmpl w:val="1AAA6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933519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6B"/>
    <w:rsid w:val="00CF256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7CB6"/>
  <w15:chartTrackingRefBased/>
  <w15:docId w15:val="{D65D3196-1D1A-4360-B377-60D9B132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6B"/>
    <w:rPr>
      <w:rFonts w:ascii="Calibri" w:hAnsi="Calibri" w:cs="Calibri"/>
      <w:lang w:eastAsia="en-GB"/>
    </w:rPr>
  </w:style>
  <w:style w:type="paragraph" w:styleId="Heading1">
    <w:name w:val="heading 1"/>
    <w:basedOn w:val="Normal"/>
    <w:link w:val="Heading1Char"/>
    <w:uiPriority w:val="9"/>
    <w:qFormat/>
    <w:rsid w:val="00CF256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F256B"/>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CF256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6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F256B"/>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CF256B"/>
    <w:rPr>
      <w:rFonts w:ascii="Tahoma" w:hAnsi="Tahoma" w:cs="Tahoma"/>
      <w:b/>
      <w:bCs/>
      <w:color w:val="FFFFFF"/>
      <w:sz w:val="18"/>
      <w:szCs w:val="18"/>
      <w:lang w:eastAsia="en-GB"/>
    </w:rPr>
  </w:style>
  <w:style w:type="paragraph" w:styleId="NormalWeb">
    <w:name w:val="Normal (Web)"/>
    <w:basedOn w:val="Normal"/>
    <w:uiPriority w:val="99"/>
    <w:semiHidden/>
    <w:unhideWhenUsed/>
    <w:rsid w:val="00CF256B"/>
    <w:pPr>
      <w:spacing w:before="100" w:beforeAutospacing="1" w:after="100" w:afterAutospacing="1"/>
    </w:pPr>
  </w:style>
  <w:style w:type="character" w:styleId="Strong">
    <w:name w:val="Strong"/>
    <w:basedOn w:val="DefaultParagraphFont"/>
    <w:uiPriority w:val="22"/>
    <w:qFormat/>
    <w:rsid w:val="00CF256B"/>
    <w:rPr>
      <w:b/>
      <w:bCs/>
    </w:rPr>
  </w:style>
  <w:style w:type="character" w:styleId="Hyperlink">
    <w:name w:val="Hyperlink"/>
    <w:basedOn w:val="DefaultParagraphFont"/>
    <w:uiPriority w:val="99"/>
    <w:semiHidden/>
    <w:unhideWhenUsed/>
    <w:rsid w:val="00CF2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35890e3c6e&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66f32f24cd&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368b8da319&amp;e=d19e9fd41c" TargetMode="External"/><Relationship Id="rId17" Type="http://schemas.openxmlformats.org/officeDocument/2006/relationships/hyperlink" Target="https://psnc.us7.list-manage.com/track/click?u=86d41ab7fa4c7c2c5d7210782&amp;id=dac3cb31f6&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917dddff8f&amp;e=d19e9fd41c" TargetMode="External"/><Relationship Id="rId20" Type="http://schemas.openxmlformats.org/officeDocument/2006/relationships/hyperlink" Target="https://psnc.us7.list-manage.com/track/click?u=86d41ab7fa4c7c2c5d7210782&amp;id=8e16cb5987&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9592cf480a&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667d65d02&amp;e=d19e9fd41c" TargetMode="External"/><Relationship Id="rId23" Type="http://schemas.openxmlformats.org/officeDocument/2006/relationships/hyperlink" Target="https://psnc.us7.list-manage.com/track/click?u=86d41ab7fa4c7c2c5d7210782&amp;id=05d215277e&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0de014fd08&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02c2a0d3d8&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d3c0f7415f&amp;e=d19e9fd41c" TargetMode="External"/><Relationship Id="rId14" Type="http://schemas.openxmlformats.org/officeDocument/2006/relationships/hyperlink" Target="https://psnc.us7.list-manage.com/track/click?u=86d41ab7fa4c7c2c5d7210782&amp;id=f1fde51b6f&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2023-02-02T08:04:00Z</dcterms:created>
  <dcterms:modified xsi:type="dcterms:W3CDTF">2023-02-02T08:05:00Z</dcterms:modified>
</cp:coreProperties>
</file>