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61216E" w14:paraId="0BFF1EE6" w14:textId="77777777" w:rsidTr="0061216E">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1216E" w14:paraId="4337784F"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61216E" w14:paraId="4D91BDAE" w14:textId="77777777">
                    <w:trPr>
                      <w:tblCellSpacing w:w="0" w:type="dxa"/>
                      <w:jc w:val="center"/>
                    </w:trPr>
                    <w:tc>
                      <w:tcPr>
                        <w:tcW w:w="3000" w:type="dxa"/>
                        <w:hideMark/>
                      </w:tcPr>
                      <w:p w14:paraId="3678A654" w14:textId="666BFEB9" w:rsidR="0061216E" w:rsidRDefault="0061216E">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B269BE4" w14:textId="77777777" w:rsidR="0061216E" w:rsidRDefault="0061216E">
                  <w:pPr>
                    <w:jc w:val="center"/>
                    <w:rPr>
                      <w:rFonts w:ascii="Times New Roman" w:eastAsia="Times New Roman" w:hAnsi="Times New Roman" w:cs="Times New Roman"/>
                      <w:sz w:val="20"/>
                      <w:szCs w:val="20"/>
                    </w:rPr>
                  </w:pPr>
                </w:p>
              </w:tc>
            </w:tr>
            <w:tr w:rsidR="0061216E" w14:paraId="0E958037"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61216E" w14:paraId="2655A918"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D1FC1AB" w14:textId="4170AFFB" w:rsidR="0061216E" w:rsidRDefault="0061216E">
                        <w:pPr>
                          <w:jc w:val="center"/>
                          <w:rPr>
                            <w:rFonts w:eastAsia="Times New Roman"/>
                          </w:rPr>
                        </w:pPr>
                        <w:r>
                          <w:rPr>
                            <w:rFonts w:eastAsia="Times New Roman"/>
                            <w:noProof/>
                          </w:rPr>
                          <w:drawing>
                            <wp:inline distT="0" distB="0" distL="0" distR="0" wp14:anchorId="796AEB12" wp14:editId="3DDF7AA4">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61216E" w14:paraId="06AF2F7A" w14:textId="77777777">
                    <w:trPr>
                      <w:tblCellSpacing w:w="0" w:type="dxa"/>
                    </w:trPr>
                    <w:tc>
                      <w:tcPr>
                        <w:tcW w:w="0" w:type="auto"/>
                        <w:vMerge/>
                        <w:tcBorders>
                          <w:top w:val="nil"/>
                          <w:left w:val="nil"/>
                          <w:bottom w:val="single" w:sz="2" w:space="0" w:color="FFFFFF"/>
                          <w:right w:val="nil"/>
                        </w:tcBorders>
                        <w:vAlign w:val="center"/>
                        <w:hideMark/>
                      </w:tcPr>
                      <w:p w14:paraId="3F44CDBE" w14:textId="77777777" w:rsidR="0061216E" w:rsidRDefault="0061216E">
                        <w:pPr>
                          <w:rPr>
                            <w:rFonts w:eastAsia="Times New Roman"/>
                          </w:rPr>
                        </w:pPr>
                      </w:p>
                    </w:tc>
                    <w:tc>
                      <w:tcPr>
                        <w:tcW w:w="3450" w:type="dxa"/>
                        <w:tcBorders>
                          <w:top w:val="nil"/>
                          <w:left w:val="nil"/>
                          <w:bottom w:val="nil"/>
                          <w:right w:val="nil"/>
                        </w:tcBorders>
                        <w:vAlign w:val="center"/>
                        <w:hideMark/>
                      </w:tcPr>
                      <w:p w14:paraId="4D95CB90" w14:textId="77777777" w:rsidR="0061216E" w:rsidRDefault="0061216E">
                        <w:pPr>
                          <w:pStyle w:val="Heading1"/>
                          <w:rPr>
                            <w:rFonts w:eastAsia="Times New Roman"/>
                          </w:rPr>
                        </w:pPr>
                        <w:r>
                          <w:rPr>
                            <w:rFonts w:eastAsia="Times New Roman"/>
                          </w:rPr>
                          <w:t>TAPR Programme Update</w:t>
                        </w:r>
                      </w:p>
                    </w:tc>
                  </w:tr>
                  <w:tr w:rsidR="0061216E" w14:paraId="44424BA6" w14:textId="77777777">
                    <w:trPr>
                      <w:tblCellSpacing w:w="0" w:type="dxa"/>
                    </w:trPr>
                    <w:tc>
                      <w:tcPr>
                        <w:tcW w:w="0" w:type="auto"/>
                        <w:vMerge/>
                        <w:tcBorders>
                          <w:top w:val="nil"/>
                          <w:left w:val="nil"/>
                          <w:bottom w:val="single" w:sz="2" w:space="0" w:color="FFFFFF"/>
                          <w:right w:val="nil"/>
                        </w:tcBorders>
                        <w:vAlign w:val="center"/>
                        <w:hideMark/>
                      </w:tcPr>
                      <w:p w14:paraId="09BD1ED6" w14:textId="77777777" w:rsidR="0061216E" w:rsidRDefault="0061216E">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7549E1B" w14:textId="77777777" w:rsidR="0061216E" w:rsidRDefault="0061216E">
                        <w:pPr>
                          <w:pStyle w:val="Heading2"/>
                          <w:rPr>
                            <w:rFonts w:eastAsia="Times New Roman"/>
                            <w:color w:val="93378A"/>
                          </w:rPr>
                        </w:pPr>
                        <w:r>
                          <w:rPr>
                            <w:rFonts w:eastAsia="Times New Roman"/>
                            <w:color w:val="93378A"/>
                          </w:rPr>
                          <w:t>Friday 11th November 2022</w:t>
                        </w:r>
                      </w:p>
                    </w:tc>
                  </w:tr>
                </w:tbl>
                <w:p w14:paraId="3E5CF0FA" w14:textId="77777777" w:rsidR="0061216E" w:rsidRDefault="0061216E">
                  <w:pPr>
                    <w:rPr>
                      <w:rFonts w:ascii="Times New Roman" w:eastAsia="Times New Roman" w:hAnsi="Times New Roman" w:cs="Times New Roman"/>
                      <w:sz w:val="20"/>
                      <w:szCs w:val="20"/>
                    </w:rPr>
                  </w:pPr>
                </w:p>
              </w:tc>
            </w:tr>
            <w:tr w:rsidR="0061216E" w14:paraId="5EA3DB38" w14:textId="77777777">
              <w:tblPrEx>
                <w:shd w:val="clear" w:color="auto" w:fill="auto"/>
              </w:tblPrEx>
              <w:trPr>
                <w:tblCellSpacing w:w="0" w:type="dxa"/>
                <w:jc w:val="center"/>
              </w:trPr>
              <w:tc>
                <w:tcPr>
                  <w:tcW w:w="9000" w:type="dxa"/>
                  <w:hideMark/>
                </w:tcPr>
                <w:p w14:paraId="186465D8" w14:textId="0E0BEC61" w:rsidR="0061216E" w:rsidRDefault="0061216E">
                  <w:pPr>
                    <w:rPr>
                      <w:rFonts w:eastAsia="Times New Roman"/>
                    </w:rPr>
                  </w:pPr>
                  <w:r>
                    <w:rPr>
                      <w:rFonts w:eastAsia="Times New Roman"/>
                      <w:noProof/>
                    </w:rPr>
                    <w:drawing>
                      <wp:inline distT="0" distB="0" distL="0" distR="0" wp14:anchorId="15C8F7E5" wp14:editId="6CAB98A5">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61216E" w14:paraId="6E3F2AA3"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61216E" w14:paraId="324667D3" w14:textId="77777777">
                    <w:trPr>
                      <w:trHeight w:val="150"/>
                      <w:tblCellSpacing w:w="15" w:type="dxa"/>
                      <w:jc w:val="center"/>
                    </w:trPr>
                    <w:tc>
                      <w:tcPr>
                        <w:tcW w:w="150" w:type="dxa"/>
                        <w:vAlign w:val="center"/>
                        <w:hideMark/>
                      </w:tcPr>
                      <w:p w14:paraId="4F1DE5AF" w14:textId="77777777" w:rsidR="0061216E" w:rsidRDefault="0061216E" w:rsidP="0061216E">
                        <w:pPr>
                          <w:spacing w:line="264" w:lineRule="auto"/>
                          <w:rPr>
                            <w:rFonts w:eastAsia="Times New Roman"/>
                          </w:rPr>
                        </w:pPr>
                      </w:p>
                    </w:tc>
                    <w:tc>
                      <w:tcPr>
                        <w:tcW w:w="8700" w:type="dxa"/>
                        <w:vAlign w:val="center"/>
                        <w:hideMark/>
                      </w:tcPr>
                      <w:p w14:paraId="49014B75" w14:textId="77777777" w:rsidR="0061216E" w:rsidRDefault="0061216E" w:rsidP="0061216E">
                        <w:pPr>
                          <w:spacing w:line="264" w:lineRule="auto"/>
                          <w:rPr>
                            <w:rFonts w:ascii="Times New Roman" w:eastAsia="Times New Roman" w:hAnsi="Times New Roman" w:cs="Times New Roman"/>
                            <w:sz w:val="20"/>
                            <w:szCs w:val="20"/>
                          </w:rPr>
                        </w:pPr>
                      </w:p>
                    </w:tc>
                    <w:tc>
                      <w:tcPr>
                        <w:tcW w:w="150" w:type="dxa"/>
                        <w:vAlign w:val="center"/>
                        <w:hideMark/>
                      </w:tcPr>
                      <w:p w14:paraId="51B89C06" w14:textId="77777777" w:rsidR="0061216E" w:rsidRDefault="0061216E" w:rsidP="0061216E">
                        <w:pPr>
                          <w:spacing w:line="264" w:lineRule="auto"/>
                          <w:rPr>
                            <w:rFonts w:ascii="Times New Roman" w:eastAsia="Times New Roman" w:hAnsi="Times New Roman" w:cs="Times New Roman"/>
                            <w:sz w:val="20"/>
                            <w:szCs w:val="20"/>
                          </w:rPr>
                        </w:pPr>
                      </w:p>
                    </w:tc>
                  </w:tr>
                  <w:tr w:rsidR="0061216E" w14:paraId="58879134" w14:textId="77777777">
                    <w:trPr>
                      <w:tblCellSpacing w:w="15" w:type="dxa"/>
                      <w:jc w:val="center"/>
                    </w:trPr>
                    <w:tc>
                      <w:tcPr>
                        <w:tcW w:w="150" w:type="dxa"/>
                        <w:vAlign w:val="center"/>
                        <w:hideMark/>
                      </w:tcPr>
                      <w:p w14:paraId="5209D4BB" w14:textId="77777777" w:rsidR="0061216E" w:rsidRDefault="0061216E" w:rsidP="0061216E">
                        <w:pPr>
                          <w:spacing w:line="264" w:lineRule="auto"/>
                          <w:rPr>
                            <w:rFonts w:ascii="Times New Roman" w:eastAsia="Times New Roman" w:hAnsi="Times New Roman" w:cs="Times New Roman"/>
                            <w:sz w:val="20"/>
                            <w:szCs w:val="20"/>
                          </w:rPr>
                        </w:pPr>
                      </w:p>
                    </w:tc>
                    <w:tc>
                      <w:tcPr>
                        <w:tcW w:w="8700" w:type="dxa"/>
                        <w:vAlign w:val="center"/>
                        <w:hideMark/>
                      </w:tcPr>
                      <w:p w14:paraId="5E32E3EC" w14:textId="77777777" w:rsidR="0061216E" w:rsidRDefault="0061216E" w:rsidP="0061216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update on the Transforming Pharmacy Representation (TAPR) Programme contains information on PSNC's work to address the proposals to improve community pharmacy contractor support and representation. The ultimate aims of this work, which is taking place alongside PSNC's ongoing work representing contractors to Government, include strengthening PSNC's negotiating capacity in the medium-term and ensuring all contractors receive the same support and services at a local level. </w:t>
                        </w:r>
                      </w:p>
                      <w:p w14:paraId="615EB457" w14:textId="77777777" w:rsidR="0061216E" w:rsidRDefault="0061216E" w:rsidP="0061216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9DAC476">
                            <v:rect id="_x0000_i1032" style="width:468pt;height:1.5pt" o:hrstd="t" o:hr="t" fillcolor="#a0a0a0" stroked="f"/>
                          </w:pict>
                        </w:r>
                      </w:p>
                      <w:p w14:paraId="0939651F" w14:textId="77777777" w:rsidR="0061216E" w:rsidRDefault="0061216E" w:rsidP="0061216E">
                        <w:pPr>
                          <w:pStyle w:val="Heading2"/>
                          <w:spacing w:after="0"/>
                          <w:rPr>
                            <w:rFonts w:eastAsia="Times New Roman"/>
                          </w:rPr>
                        </w:pPr>
                        <w:r>
                          <w:rPr>
                            <w:rFonts w:eastAsia="Times New Roman"/>
                          </w:rPr>
                          <w:t>New TAPR resources for contractors and LPCs</w:t>
                        </w:r>
                      </w:p>
                      <w:p w14:paraId="79E8FEDF" w14:textId="77777777" w:rsidR="0061216E" w:rsidRDefault="0061216E" w:rsidP="0061216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is continuing to make progress on addressing the </w:t>
                        </w:r>
                        <w:hyperlink r:id="rId8" w:tgtFrame="_blank" w:history="1">
                          <w:r>
                            <w:rPr>
                              <w:rStyle w:val="Hyperlink"/>
                              <w:rFonts w:ascii="Tahoma" w:eastAsia="Times New Roman" w:hAnsi="Tahoma" w:cs="Tahoma"/>
                              <w:b/>
                              <w:bCs/>
                              <w:color w:val="4E3487"/>
                              <w:sz w:val="21"/>
                              <w:szCs w:val="21"/>
                            </w:rPr>
                            <w:t>Review Steering Group (RSG) proposals</w:t>
                          </w:r>
                        </w:hyperlink>
                        <w:r>
                          <w:rPr>
                            <w:rFonts w:ascii="Tahoma" w:eastAsia="Times New Roman" w:hAnsi="Tahoma" w:cs="Tahoma"/>
                            <w:color w:val="303030"/>
                            <w:sz w:val="21"/>
                            <w:szCs w:val="21"/>
                          </w:rPr>
                          <w:t> directed at the Committee through its </w:t>
                        </w:r>
                        <w:hyperlink r:id="rId9" w:tgtFrame="_blank" w:history="1">
                          <w:r>
                            <w:rPr>
                              <w:rStyle w:val="Hyperlink"/>
                              <w:rFonts w:ascii="Tahoma" w:eastAsia="Times New Roman" w:hAnsi="Tahoma" w:cs="Tahoma"/>
                              <w:b/>
                              <w:bCs/>
                              <w:color w:val="4E3487"/>
                              <w:sz w:val="21"/>
                              <w:szCs w:val="21"/>
                            </w:rPr>
                            <w:t>Transforming Pharmacy Representation (TAPR) work programme</w:t>
                          </w:r>
                        </w:hyperlink>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t>As part of this, PSNC has today published a series of resources to update contractors and LPCs on this work. The documents include a summary update on the TAPR workstreams and a briefing document setting out how it plans to use the additional levies that will start to be directed to it from April 2023 onwards. These monies will be used to strengthen PSNC’s negotiating capability and capacity, in line with the RSG Proposals. </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Read the TAPR Programme Update</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Read the Levy Briefing</w:t>
                          </w:r>
                        </w:hyperlink>
                        <w:r>
                          <w:rPr>
                            <w:rFonts w:ascii="Tahoma" w:eastAsia="Times New Roman" w:hAnsi="Tahoma" w:cs="Tahoma"/>
                            <w:color w:val="303030"/>
                            <w:sz w:val="21"/>
                            <w:szCs w:val="21"/>
                          </w:rPr>
                          <w:t xml:space="preserve"> </w:t>
                        </w:r>
                      </w:p>
                      <w:p w14:paraId="7A869C15" w14:textId="77777777" w:rsidR="0061216E" w:rsidRDefault="0061216E" w:rsidP="0061216E">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These documents set out how work is progressing in </w:t>
                        </w:r>
                        <w:proofErr w:type="gramStart"/>
                        <w:r>
                          <w:rPr>
                            <w:rFonts w:ascii="Tahoma" w:hAnsi="Tahoma" w:cs="Tahoma"/>
                            <w:color w:val="303030"/>
                            <w:sz w:val="21"/>
                            <w:szCs w:val="21"/>
                          </w:rPr>
                          <w:t>a number of</w:t>
                        </w:r>
                        <w:proofErr w:type="gramEnd"/>
                        <w:r>
                          <w:rPr>
                            <w:rFonts w:ascii="Tahoma" w:hAnsi="Tahoma" w:cs="Tahoma"/>
                            <w:color w:val="303030"/>
                            <w:sz w:val="21"/>
                            <w:szCs w:val="21"/>
                          </w:rPr>
                          <w:t xml:space="preserve"> really important areas for contractors and the future of the sector including on vision and strategy; LPC support; levies; governance; influencing; and renaming PSNC to Community Pharmacy England.</w:t>
                        </w:r>
                      </w:p>
                      <w:p w14:paraId="191EC133" w14:textId="77777777" w:rsidR="0061216E" w:rsidRDefault="0061216E" w:rsidP="0061216E">
                        <w:pPr>
                          <w:spacing w:line="264" w:lineRule="auto"/>
                          <w:rPr>
                            <w:rFonts w:ascii="Tahoma" w:eastAsia="Times New Roman" w:hAnsi="Tahoma" w:cs="Tahoma"/>
                            <w:color w:val="303030"/>
                            <w:sz w:val="21"/>
                            <w:szCs w:val="21"/>
                          </w:rPr>
                        </w:pPr>
                        <w:hyperlink r:id="rId12" w:tgtFrame="_blank" w:history="1">
                          <w:r>
                            <w:rPr>
                              <w:rStyle w:val="Hyperlink"/>
                              <w:rFonts w:ascii="Tahoma" w:eastAsia="Times New Roman" w:hAnsi="Tahoma" w:cs="Tahoma"/>
                              <w:b/>
                              <w:bCs/>
                              <w:color w:val="4E3487"/>
                              <w:sz w:val="21"/>
                              <w:szCs w:val="21"/>
                            </w:rPr>
                            <w:t>Read more</w:t>
                          </w:r>
                        </w:hyperlink>
                        <w:r>
                          <w:rPr>
                            <w:rFonts w:ascii="Tahoma" w:eastAsia="Times New Roman" w:hAnsi="Tahoma" w:cs="Tahoma"/>
                            <w:color w:val="303030"/>
                            <w:sz w:val="21"/>
                            <w:szCs w:val="21"/>
                          </w:rPr>
                          <w:t xml:space="preserve"> </w:t>
                        </w:r>
                      </w:p>
                      <w:p w14:paraId="4BE686D6" w14:textId="77777777" w:rsidR="0061216E" w:rsidRDefault="0061216E" w:rsidP="0061216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8AFCC84">
                            <v:rect id="_x0000_i1033" style="width:468pt;height:1.5pt" o:hrstd="t" o:hr="t" fillcolor="#a0a0a0" stroked="f"/>
                          </w:pict>
                        </w:r>
                      </w:p>
                      <w:p w14:paraId="65CF9A41" w14:textId="77777777" w:rsidR="0061216E" w:rsidRDefault="0061216E" w:rsidP="0061216E">
                        <w:pPr>
                          <w:pStyle w:val="Heading2"/>
                          <w:spacing w:after="0"/>
                          <w:rPr>
                            <w:rFonts w:eastAsia="Times New Roman"/>
                          </w:rPr>
                        </w:pPr>
                        <w:r>
                          <w:rPr>
                            <w:rFonts w:eastAsia="Times New Roman"/>
                          </w:rPr>
                          <w:t>Other TAPR Resources</w:t>
                        </w:r>
                      </w:p>
                      <w:p w14:paraId="685D99A2" w14:textId="5817F033" w:rsidR="0061216E" w:rsidRDefault="0061216E" w:rsidP="0061216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In addition to the progress update and levy briefing, PSNC has today published some resources to help contractors and LPCs to better understand the TAPR work programme in its totality. </w:t>
                        </w:r>
                      </w:p>
                      <w:p w14:paraId="2966AB12" w14:textId="77777777" w:rsidR="0061216E" w:rsidRDefault="0061216E" w:rsidP="0061216E">
                        <w:pPr>
                          <w:spacing w:line="264" w:lineRule="auto"/>
                          <w:rPr>
                            <w:rFonts w:ascii="Tahoma" w:eastAsia="Times New Roman" w:hAnsi="Tahoma" w:cs="Tahoma"/>
                            <w:color w:val="303030"/>
                            <w:sz w:val="21"/>
                            <w:szCs w:val="21"/>
                          </w:rPr>
                        </w:pPr>
                      </w:p>
                      <w:p w14:paraId="69DBDCE0" w14:textId="77777777" w:rsidR="0061216E" w:rsidRDefault="0061216E" w:rsidP="0061216E">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These can all be viewed as follows:</w:t>
                        </w:r>
                      </w:p>
                      <w:p w14:paraId="32B57556" w14:textId="77777777" w:rsidR="0061216E" w:rsidRDefault="0061216E" w:rsidP="0061216E">
                        <w:pPr>
                          <w:pStyle w:val="NormalWeb"/>
                          <w:spacing w:before="0" w:beforeAutospacing="0" w:after="0" w:afterAutospacing="0" w:line="264" w:lineRule="auto"/>
                          <w:rPr>
                            <w:rFonts w:ascii="Tahoma" w:hAnsi="Tahoma" w:cs="Tahoma"/>
                            <w:color w:val="303030"/>
                            <w:sz w:val="21"/>
                            <w:szCs w:val="21"/>
                          </w:rPr>
                        </w:pPr>
                        <w:hyperlink r:id="rId13" w:tgtFrame="_blank" w:history="1">
                          <w:r>
                            <w:rPr>
                              <w:rStyle w:val="Strong"/>
                              <w:rFonts w:ascii="Tahoma" w:hAnsi="Tahoma" w:cs="Tahoma"/>
                              <w:color w:val="4E3487"/>
                              <w:sz w:val="21"/>
                              <w:szCs w:val="21"/>
                            </w:rPr>
                            <w:t>TAPR: An Infographic</w:t>
                          </w:r>
                        </w:hyperlink>
                      </w:p>
                      <w:p w14:paraId="766336A9" w14:textId="77777777" w:rsidR="0061216E" w:rsidRDefault="0061216E" w:rsidP="0061216E">
                        <w:pPr>
                          <w:pStyle w:val="NormalWeb"/>
                          <w:spacing w:before="0" w:beforeAutospacing="0" w:after="0" w:afterAutospacing="0" w:line="264" w:lineRule="auto"/>
                          <w:rPr>
                            <w:rFonts w:ascii="Tahoma" w:hAnsi="Tahoma" w:cs="Tahoma"/>
                            <w:color w:val="303030"/>
                            <w:sz w:val="21"/>
                            <w:szCs w:val="21"/>
                          </w:rPr>
                        </w:pPr>
                        <w:hyperlink r:id="rId14" w:tgtFrame="_blank" w:history="1">
                          <w:r>
                            <w:rPr>
                              <w:rStyle w:val="Strong"/>
                              <w:rFonts w:ascii="Tahoma" w:hAnsi="Tahoma" w:cs="Tahoma"/>
                              <w:color w:val="4E3487"/>
                              <w:sz w:val="21"/>
                              <w:szCs w:val="21"/>
                            </w:rPr>
                            <w:t>TAPR Programme Timeline</w:t>
                          </w:r>
                        </w:hyperlink>
                      </w:p>
                      <w:p w14:paraId="5734EA1A" w14:textId="77777777" w:rsidR="0061216E" w:rsidRDefault="0061216E" w:rsidP="0061216E">
                        <w:pPr>
                          <w:pStyle w:val="NormalWeb"/>
                          <w:spacing w:before="0" w:beforeAutospacing="0" w:after="0" w:afterAutospacing="0" w:line="264" w:lineRule="auto"/>
                          <w:rPr>
                            <w:rFonts w:ascii="Tahoma" w:hAnsi="Tahoma" w:cs="Tahoma"/>
                            <w:color w:val="303030"/>
                            <w:sz w:val="21"/>
                            <w:szCs w:val="21"/>
                          </w:rPr>
                        </w:pPr>
                        <w:hyperlink r:id="rId15" w:tgtFrame="_blank" w:history="1">
                          <w:r>
                            <w:rPr>
                              <w:rStyle w:val="Strong"/>
                              <w:rFonts w:ascii="Tahoma" w:hAnsi="Tahoma" w:cs="Tahoma"/>
                              <w:color w:val="4E3487"/>
                              <w:sz w:val="21"/>
                              <w:szCs w:val="21"/>
                            </w:rPr>
                            <w:t>TAPR: Progress against RSG Proposals</w:t>
                          </w:r>
                        </w:hyperlink>
                      </w:p>
                      <w:p w14:paraId="2036A77E" w14:textId="77777777" w:rsidR="0061216E" w:rsidRDefault="0061216E" w:rsidP="0061216E">
                        <w:pPr>
                          <w:pStyle w:val="NormalWeb"/>
                          <w:spacing w:before="0" w:beforeAutospacing="0" w:after="0" w:afterAutospacing="0" w:line="264" w:lineRule="auto"/>
                          <w:rPr>
                            <w:rFonts w:ascii="Tahoma" w:hAnsi="Tahoma" w:cs="Tahoma"/>
                            <w:color w:val="303030"/>
                            <w:sz w:val="21"/>
                            <w:szCs w:val="21"/>
                          </w:rPr>
                        </w:pPr>
                      </w:p>
                      <w:p w14:paraId="2405D943" w14:textId="62BDA382" w:rsidR="0061216E" w:rsidRDefault="0061216E" w:rsidP="0061216E">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lastRenderedPageBreak/>
                          <w:t>Contractors can find out more about the TAPR programme, including all the latest updates via our webpage: </w:t>
                        </w:r>
                        <w:hyperlink r:id="rId16" w:tgtFrame="_blank" w:history="1">
                          <w:r>
                            <w:rPr>
                              <w:rStyle w:val="Strong"/>
                              <w:rFonts w:ascii="Tahoma" w:hAnsi="Tahoma" w:cs="Tahoma"/>
                              <w:color w:val="4E3487"/>
                              <w:sz w:val="21"/>
                              <w:szCs w:val="21"/>
                            </w:rPr>
                            <w:t>psnc.org.uk/</w:t>
                          </w:r>
                          <w:proofErr w:type="spellStart"/>
                          <w:r>
                            <w:rPr>
                              <w:rStyle w:val="Strong"/>
                              <w:rFonts w:ascii="Tahoma" w:hAnsi="Tahoma" w:cs="Tahoma"/>
                              <w:color w:val="4E3487"/>
                              <w:sz w:val="21"/>
                              <w:szCs w:val="21"/>
                            </w:rPr>
                            <w:t>tapr</w:t>
                          </w:r>
                          <w:proofErr w:type="spellEnd"/>
                        </w:hyperlink>
                      </w:p>
                    </w:tc>
                    <w:tc>
                      <w:tcPr>
                        <w:tcW w:w="150" w:type="dxa"/>
                        <w:vAlign w:val="center"/>
                        <w:hideMark/>
                      </w:tcPr>
                      <w:p w14:paraId="0F6CB5CF" w14:textId="77777777" w:rsidR="0061216E" w:rsidRDefault="0061216E" w:rsidP="0061216E">
                        <w:pPr>
                          <w:spacing w:line="264" w:lineRule="auto"/>
                          <w:rPr>
                            <w:rFonts w:ascii="Tahoma" w:hAnsi="Tahoma" w:cs="Tahoma"/>
                            <w:color w:val="303030"/>
                            <w:sz w:val="21"/>
                            <w:szCs w:val="21"/>
                          </w:rPr>
                        </w:pPr>
                      </w:p>
                    </w:tc>
                  </w:tr>
                  <w:tr w:rsidR="0061216E" w14:paraId="4E4B69CD" w14:textId="77777777">
                    <w:trPr>
                      <w:trHeight w:val="150"/>
                      <w:tblCellSpacing w:w="15" w:type="dxa"/>
                      <w:jc w:val="center"/>
                    </w:trPr>
                    <w:tc>
                      <w:tcPr>
                        <w:tcW w:w="150" w:type="dxa"/>
                        <w:vAlign w:val="center"/>
                        <w:hideMark/>
                      </w:tcPr>
                      <w:p w14:paraId="63DA4AE9" w14:textId="77777777" w:rsidR="0061216E" w:rsidRDefault="0061216E" w:rsidP="0061216E">
                        <w:pPr>
                          <w:spacing w:line="264" w:lineRule="auto"/>
                          <w:rPr>
                            <w:rFonts w:ascii="Times New Roman" w:eastAsia="Times New Roman" w:hAnsi="Times New Roman" w:cs="Times New Roman"/>
                            <w:sz w:val="20"/>
                            <w:szCs w:val="20"/>
                          </w:rPr>
                        </w:pPr>
                      </w:p>
                    </w:tc>
                    <w:tc>
                      <w:tcPr>
                        <w:tcW w:w="8700" w:type="dxa"/>
                        <w:vAlign w:val="center"/>
                        <w:hideMark/>
                      </w:tcPr>
                      <w:p w14:paraId="4878B060" w14:textId="77777777" w:rsidR="0061216E" w:rsidRDefault="0061216E" w:rsidP="0061216E">
                        <w:pPr>
                          <w:spacing w:line="264" w:lineRule="auto"/>
                          <w:rPr>
                            <w:rFonts w:ascii="Times New Roman" w:eastAsia="Times New Roman" w:hAnsi="Times New Roman" w:cs="Times New Roman"/>
                            <w:sz w:val="20"/>
                            <w:szCs w:val="20"/>
                          </w:rPr>
                        </w:pPr>
                      </w:p>
                    </w:tc>
                    <w:tc>
                      <w:tcPr>
                        <w:tcW w:w="150" w:type="dxa"/>
                        <w:vAlign w:val="center"/>
                        <w:hideMark/>
                      </w:tcPr>
                      <w:p w14:paraId="591323A6" w14:textId="77777777" w:rsidR="0061216E" w:rsidRDefault="0061216E" w:rsidP="0061216E">
                        <w:pPr>
                          <w:spacing w:line="264" w:lineRule="auto"/>
                          <w:rPr>
                            <w:rFonts w:ascii="Times New Roman" w:eastAsia="Times New Roman" w:hAnsi="Times New Roman" w:cs="Times New Roman"/>
                            <w:sz w:val="20"/>
                            <w:szCs w:val="20"/>
                          </w:rPr>
                        </w:pPr>
                      </w:p>
                    </w:tc>
                  </w:tr>
                </w:tbl>
                <w:p w14:paraId="3E26B6CA" w14:textId="77777777" w:rsidR="0061216E" w:rsidRDefault="0061216E" w:rsidP="0061216E">
                  <w:pPr>
                    <w:spacing w:line="264" w:lineRule="auto"/>
                    <w:rPr>
                      <w:rFonts w:ascii="Times New Roman" w:eastAsia="Times New Roman" w:hAnsi="Times New Roman" w:cs="Times New Roman"/>
                      <w:sz w:val="20"/>
                      <w:szCs w:val="20"/>
                    </w:rPr>
                  </w:pPr>
                </w:p>
              </w:tc>
            </w:tr>
          </w:tbl>
          <w:p w14:paraId="0853A575" w14:textId="77777777" w:rsidR="0061216E" w:rsidRDefault="0061216E">
            <w:pPr>
              <w:jc w:val="center"/>
              <w:rPr>
                <w:rFonts w:ascii="Times New Roman" w:eastAsia="Times New Roman" w:hAnsi="Times New Roman" w:cs="Times New Roman"/>
                <w:sz w:val="20"/>
                <w:szCs w:val="20"/>
              </w:rPr>
            </w:pPr>
          </w:p>
        </w:tc>
      </w:tr>
      <w:tr w:rsidR="0061216E" w14:paraId="0D210CCB" w14:textId="77777777" w:rsidTr="0061216E">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1216E" w14:paraId="6B8422AC"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61216E" w14:paraId="5D82DB3E" w14:textId="77777777">
                    <w:trPr>
                      <w:tblCellSpacing w:w="0" w:type="dxa"/>
                      <w:jc w:val="center"/>
                    </w:trPr>
                    <w:tc>
                      <w:tcPr>
                        <w:tcW w:w="3000" w:type="dxa"/>
                        <w:tcMar>
                          <w:top w:w="30" w:type="dxa"/>
                          <w:left w:w="75" w:type="dxa"/>
                          <w:bottom w:w="30" w:type="dxa"/>
                          <w:right w:w="75" w:type="dxa"/>
                        </w:tcMar>
                        <w:hideMark/>
                      </w:tcPr>
                      <w:p w14:paraId="5551032B" w14:textId="77777777" w:rsidR="0061216E" w:rsidRDefault="0061216E">
                        <w:pPr>
                          <w:pStyle w:val="Heading4"/>
                          <w:jc w:val="center"/>
                          <w:rPr>
                            <w:rFonts w:eastAsia="Times New Roman"/>
                          </w:rPr>
                        </w:pPr>
                        <w:r>
                          <w:rPr>
                            <w:rFonts w:eastAsia="Times New Roman"/>
                          </w:rPr>
                          <w:lastRenderedPageBreak/>
                          <w:t>Pharmaceutical Services Negotiating Committee</w:t>
                        </w:r>
                      </w:p>
                      <w:p w14:paraId="1FF36981" w14:textId="522ABDA3" w:rsidR="0061216E" w:rsidRDefault="0061216E">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B45C223" wp14:editId="07BBFECD">
                              <wp:extent cx="609600" cy="304800"/>
                              <wp:effectExtent l="0" t="0" r="0" b="0"/>
                              <wp:docPr id="5" name="Picture 5">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E359EEB" wp14:editId="75C60DB2">
                              <wp:extent cx="609600" cy="304800"/>
                              <wp:effectExtent l="0" t="0" r="0" b="0"/>
                              <wp:docPr id="4" name="Picture 4">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A1E6DEA" wp14:editId="0294D558">
                              <wp:extent cx="609600" cy="304800"/>
                              <wp:effectExtent l="0" t="0" r="0" b="0"/>
                              <wp:docPr id="3" name="Picture 3">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C6BB452" wp14:editId="3E6FFBB2">
                              <wp:extent cx="609600" cy="304800"/>
                              <wp:effectExtent l="0" t="0" r="0" b="0"/>
                              <wp:docPr id="2" name="Picture 2">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8234E62" w14:textId="77777777" w:rsidR="0061216E" w:rsidRDefault="0061216E">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9"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61216E" w14:paraId="2B743FB9" w14:textId="77777777" w:rsidTr="0061216E">
                    <w:trPr>
                      <w:trHeight w:val="45"/>
                      <w:tblCellSpacing w:w="0" w:type="dxa"/>
                      <w:jc w:val="center"/>
                    </w:trPr>
                    <w:tc>
                      <w:tcPr>
                        <w:tcW w:w="9000" w:type="dxa"/>
                        <w:tcMar>
                          <w:top w:w="150" w:type="dxa"/>
                          <w:left w:w="0" w:type="dxa"/>
                          <w:bottom w:w="0" w:type="dxa"/>
                          <w:right w:w="0" w:type="dxa"/>
                        </w:tcMar>
                        <w:vAlign w:val="center"/>
                        <w:hideMark/>
                      </w:tcPr>
                      <w:p w14:paraId="0021CAF8" w14:textId="42BFE856" w:rsidR="0061216E" w:rsidRDefault="0061216E" w:rsidP="0061216E">
                        <w:pPr>
                          <w:rPr>
                            <w:rFonts w:ascii="Arial" w:eastAsia="Times New Roman" w:hAnsi="Arial" w:cs="Arial"/>
                            <w:color w:val="FFFFFF"/>
                            <w:sz w:val="17"/>
                            <w:szCs w:val="17"/>
                          </w:rPr>
                        </w:pPr>
                      </w:p>
                    </w:tc>
                  </w:tr>
                </w:tbl>
                <w:p w14:paraId="25BD5575" w14:textId="77777777" w:rsidR="0061216E" w:rsidRDefault="0061216E">
                  <w:pPr>
                    <w:jc w:val="center"/>
                    <w:rPr>
                      <w:rFonts w:ascii="Times New Roman" w:eastAsia="Times New Roman" w:hAnsi="Times New Roman" w:cs="Times New Roman"/>
                      <w:sz w:val="20"/>
                      <w:szCs w:val="20"/>
                    </w:rPr>
                  </w:pPr>
                </w:p>
              </w:tc>
            </w:tr>
          </w:tbl>
          <w:p w14:paraId="47331107" w14:textId="77777777" w:rsidR="0061216E" w:rsidRDefault="0061216E">
            <w:pPr>
              <w:jc w:val="center"/>
              <w:rPr>
                <w:rFonts w:ascii="Times New Roman" w:eastAsia="Times New Roman" w:hAnsi="Times New Roman" w:cs="Times New Roman"/>
                <w:sz w:val="20"/>
                <w:szCs w:val="20"/>
              </w:rPr>
            </w:pPr>
          </w:p>
        </w:tc>
      </w:tr>
    </w:tbl>
    <w:p w14:paraId="47F473A7" w14:textId="2E957F3A" w:rsidR="0061216E" w:rsidRDefault="0061216E" w:rsidP="0061216E">
      <w:pPr>
        <w:rPr>
          <w:rFonts w:eastAsia="Times New Roman"/>
        </w:rPr>
      </w:pPr>
      <w:r>
        <w:rPr>
          <w:rFonts w:eastAsia="Times New Roman"/>
          <w:noProof/>
        </w:rPr>
        <w:drawing>
          <wp:inline distT="0" distB="0" distL="0" distR="0" wp14:anchorId="4AF1B9FB" wp14:editId="7AABDEF6">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16032C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16E"/>
    <w:rsid w:val="0061216E"/>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1629"/>
  <w15:chartTrackingRefBased/>
  <w15:docId w15:val="{4DB5F2FD-6222-45AF-94B0-B3ACAAA77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16E"/>
    <w:rPr>
      <w:rFonts w:ascii="Calibri" w:hAnsi="Calibri" w:cs="Calibri"/>
      <w:lang w:eastAsia="en-GB"/>
    </w:rPr>
  </w:style>
  <w:style w:type="paragraph" w:styleId="Heading1">
    <w:name w:val="heading 1"/>
    <w:basedOn w:val="Normal"/>
    <w:link w:val="Heading1Char"/>
    <w:uiPriority w:val="9"/>
    <w:qFormat/>
    <w:rsid w:val="0061216E"/>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61216E"/>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61216E"/>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16E"/>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61216E"/>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61216E"/>
    <w:rPr>
      <w:rFonts w:ascii="Tahoma" w:hAnsi="Tahoma" w:cs="Tahoma"/>
      <w:b/>
      <w:bCs/>
      <w:color w:val="FFFFFF"/>
      <w:sz w:val="18"/>
      <w:szCs w:val="18"/>
      <w:lang w:eastAsia="en-GB"/>
    </w:rPr>
  </w:style>
  <w:style w:type="paragraph" w:styleId="NormalWeb">
    <w:name w:val="Normal (Web)"/>
    <w:basedOn w:val="Normal"/>
    <w:uiPriority w:val="99"/>
    <w:semiHidden/>
    <w:unhideWhenUsed/>
    <w:rsid w:val="0061216E"/>
    <w:pPr>
      <w:spacing w:before="100" w:beforeAutospacing="1" w:after="100" w:afterAutospacing="1"/>
    </w:pPr>
  </w:style>
  <w:style w:type="character" w:styleId="Strong">
    <w:name w:val="Strong"/>
    <w:basedOn w:val="DefaultParagraphFont"/>
    <w:uiPriority w:val="22"/>
    <w:qFormat/>
    <w:rsid w:val="0061216E"/>
    <w:rPr>
      <w:b/>
      <w:bCs/>
    </w:rPr>
  </w:style>
  <w:style w:type="character" w:styleId="Hyperlink">
    <w:name w:val="Hyperlink"/>
    <w:basedOn w:val="DefaultParagraphFont"/>
    <w:uiPriority w:val="99"/>
    <w:semiHidden/>
    <w:unhideWhenUsed/>
    <w:rsid w:val="006121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22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960da491f1&amp;e=d19e9fd41c" TargetMode="External"/><Relationship Id="rId13" Type="http://schemas.openxmlformats.org/officeDocument/2006/relationships/hyperlink" Target="https://psnc.us7.list-manage.com/track/click?u=86d41ab7fa4c7c2c5d7210782&amp;id=7f4da54cbc&amp;e=d19e9fd41c" TargetMode="External"/><Relationship Id="rId18" Type="http://schemas.openxmlformats.org/officeDocument/2006/relationships/image" Target="media/image3.png"/><Relationship Id="rId26" Type="http://schemas.openxmlformats.org/officeDocument/2006/relationships/hyperlink" Target="https://psnc.us7.list-manage.com/track/click?u=86d41ab7fa4c7c2c5d7210782&amp;id=6762bc4b4f&amp;e=d19e9fd41c" TargetMode="External"/><Relationship Id="rId3" Type="http://schemas.openxmlformats.org/officeDocument/2006/relationships/webSettings" Target="webSettings.xml"/><Relationship Id="rId21" Type="http://schemas.openxmlformats.org/officeDocument/2006/relationships/image" Target="media/image4.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80442abad4&amp;e=d19e9fd41c" TargetMode="External"/><Relationship Id="rId17" Type="http://schemas.openxmlformats.org/officeDocument/2006/relationships/hyperlink" Target="https://psnc.us7.list-manage.com/track/click?u=86d41ab7fa4c7c2c5d7210782&amp;id=734b91cd22&amp;e=d19e9fd41c" TargetMode="External"/><Relationship Id="rId25" Type="http://schemas.openxmlformats.org/officeDocument/2006/relationships/image" Target="https://gallery.mailchimp.com/86d41ab7fa4c7c2c5d7210782/images/cd088afd-0ac0-4498-8ed1-e4199bf882ce.pn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psnc.us7.list-manage.com/track/click?u=86d41ab7fa4c7c2c5d7210782&amp;id=8e0b1de0bf&amp;e=d19e9fd41c" TargetMode="External"/><Relationship Id="rId20" Type="http://schemas.openxmlformats.org/officeDocument/2006/relationships/hyperlink" Target="https://psnc.us7.list-manage.com/track/click?u=86d41ab7fa4c7c2c5d7210782&amp;id=f46c2207a9&amp;e=d19e9fd41c" TargetMode="External"/><Relationship Id="rId29" Type="http://schemas.openxmlformats.org/officeDocument/2006/relationships/hyperlink" Target="mailto:info@psnc.org.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e00ed9221c&amp;e=d19e9fd41c"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e0df5d75d4&amp;e=d19e9fd41c" TargetMode="External"/><Relationship Id="rId23" Type="http://schemas.openxmlformats.org/officeDocument/2006/relationships/hyperlink" Target="https://psnc.us7.list-manage.com/track/click?u=86d41ab7fa4c7c2c5d7210782&amp;id=55551bb5a0&amp;e=d19e9fd41c" TargetMode="External"/><Relationship Id="rId28" Type="http://schemas.openxmlformats.org/officeDocument/2006/relationships/image" Target="https://gallery.mailchimp.com/86d41ab7fa4c7c2c5d7210782/images/f5c0845f-f39c-425d-8d3c-deff11493c50.png" TargetMode="External"/><Relationship Id="rId10" Type="http://schemas.openxmlformats.org/officeDocument/2006/relationships/hyperlink" Target="https://psnc.us7.list-manage.com/track/click?u=86d41ab7fa4c7c2c5d7210782&amp;id=282a243214&amp;e=d19e9fd41c" TargetMode="External"/><Relationship Id="rId19" Type="http://schemas.openxmlformats.org/officeDocument/2006/relationships/image" Target="https://gallery.mailchimp.com/86d41ab7fa4c7c2c5d7210782/images/5acd9cf1-bdba-4039-b74f-638b444ff5d8.png" TargetMode="External"/><Relationship Id="rId31" Type="http://schemas.openxmlformats.org/officeDocument/2006/relationships/image" Target="https://psnc.us7.list-manage.com/track/open.php?u=86d41ab7fa4c7c2c5d7210782&amp;id=530659a983&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db2de3bbb9&amp;e=d19e9fd41c" TargetMode="External"/><Relationship Id="rId14" Type="http://schemas.openxmlformats.org/officeDocument/2006/relationships/hyperlink" Target="https://psnc.us7.list-manage.com/track/click?u=86d41ab7fa4c7c2c5d7210782&amp;id=8080cdef73&amp;e=d19e9fd41c" TargetMode="External"/><Relationship Id="rId22" Type="http://schemas.openxmlformats.org/officeDocument/2006/relationships/image" Target="https://gallery.mailchimp.com/86d41ab7fa4c7c2c5d7210782/images/e1475f6b-1081-4509-ab25-9cd7f83d26b2.png" TargetMode="External"/><Relationship Id="rId27" Type="http://schemas.openxmlformats.org/officeDocument/2006/relationships/image" Target="media/image6.png"/><Relationship Id="rId30"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2856</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2022-11-14T14:48:00Z</dcterms:created>
  <dcterms:modified xsi:type="dcterms:W3CDTF">2022-11-14T14:49:00Z</dcterms:modified>
</cp:coreProperties>
</file>