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969C2" w14:paraId="7B17FF86" w14:textId="77777777" w:rsidTr="005969C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969C2" w14:paraId="43D4C9D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969C2" w14:paraId="6B00F4B9" w14:textId="77777777">
                    <w:trPr>
                      <w:tblCellSpacing w:w="0" w:type="dxa"/>
                      <w:jc w:val="center"/>
                    </w:trPr>
                    <w:tc>
                      <w:tcPr>
                        <w:tcW w:w="3000" w:type="dxa"/>
                        <w:hideMark/>
                      </w:tcPr>
                      <w:p w14:paraId="54A57832" w14:textId="7505B86E" w:rsidR="005969C2" w:rsidRDefault="005969C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EB93FE4" w14:textId="77777777" w:rsidR="005969C2" w:rsidRDefault="005969C2">
                  <w:pPr>
                    <w:jc w:val="center"/>
                    <w:rPr>
                      <w:rFonts w:ascii="Times New Roman" w:eastAsia="Times New Roman" w:hAnsi="Times New Roman" w:cs="Times New Roman"/>
                      <w:sz w:val="20"/>
                      <w:szCs w:val="20"/>
                    </w:rPr>
                  </w:pPr>
                </w:p>
              </w:tc>
            </w:tr>
            <w:tr w:rsidR="005969C2" w14:paraId="226563C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969C2" w14:paraId="539FA93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52410A8" w14:textId="047E451B" w:rsidR="005969C2" w:rsidRDefault="005969C2">
                        <w:pPr>
                          <w:jc w:val="center"/>
                          <w:rPr>
                            <w:rFonts w:eastAsia="Times New Roman"/>
                          </w:rPr>
                        </w:pPr>
                        <w:r>
                          <w:rPr>
                            <w:rFonts w:eastAsia="Times New Roman"/>
                            <w:noProof/>
                          </w:rPr>
                          <w:drawing>
                            <wp:inline distT="0" distB="0" distL="0" distR="0" wp14:anchorId="29966178" wp14:editId="671750A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969C2" w14:paraId="0D6CDA79" w14:textId="77777777">
                    <w:trPr>
                      <w:tblCellSpacing w:w="0" w:type="dxa"/>
                    </w:trPr>
                    <w:tc>
                      <w:tcPr>
                        <w:tcW w:w="0" w:type="auto"/>
                        <w:vMerge/>
                        <w:tcBorders>
                          <w:top w:val="nil"/>
                          <w:left w:val="nil"/>
                          <w:bottom w:val="single" w:sz="2" w:space="0" w:color="FFFFFF"/>
                          <w:right w:val="nil"/>
                        </w:tcBorders>
                        <w:vAlign w:val="center"/>
                        <w:hideMark/>
                      </w:tcPr>
                      <w:p w14:paraId="2F2C6972" w14:textId="77777777" w:rsidR="005969C2" w:rsidRDefault="005969C2">
                        <w:pPr>
                          <w:rPr>
                            <w:rFonts w:eastAsia="Times New Roman"/>
                          </w:rPr>
                        </w:pPr>
                      </w:p>
                    </w:tc>
                    <w:tc>
                      <w:tcPr>
                        <w:tcW w:w="3450" w:type="dxa"/>
                        <w:tcBorders>
                          <w:top w:val="nil"/>
                          <w:left w:val="nil"/>
                          <w:bottom w:val="nil"/>
                          <w:right w:val="nil"/>
                        </w:tcBorders>
                        <w:vAlign w:val="center"/>
                        <w:hideMark/>
                      </w:tcPr>
                      <w:p w14:paraId="55D5FD8C" w14:textId="77777777" w:rsidR="005969C2" w:rsidRDefault="005969C2">
                        <w:pPr>
                          <w:pStyle w:val="Heading1"/>
                          <w:rPr>
                            <w:rFonts w:eastAsia="Times New Roman"/>
                          </w:rPr>
                        </w:pPr>
                        <w:r>
                          <w:rPr>
                            <w:rFonts w:eastAsia="Times New Roman"/>
                          </w:rPr>
                          <w:t>PSNC Newsletter</w:t>
                        </w:r>
                      </w:p>
                    </w:tc>
                  </w:tr>
                  <w:tr w:rsidR="005969C2" w14:paraId="3E8215F5" w14:textId="77777777">
                    <w:trPr>
                      <w:tblCellSpacing w:w="0" w:type="dxa"/>
                    </w:trPr>
                    <w:tc>
                      <w:tcPr>
                        <w:tcW w:w="0" w:type="auto"/>
                        <w:vMerge/>
                        <w:tcBorders>
                          <w:top w:val="nil"/>
                          <w:left w:val="nil"/>
                          <w:bottom w:val="single" w:sz="2" w:space="0" w:color="FFFFFF"/>
                          <w:right w:val="nil"/>
                        </w:tcBorders>
                        <w:vAlign w:val="center"/>
                        <w:hideMark/>
                      </w:tcPr>
                      <w:p w14:paraId="24061C0A" w14:textId="77777777" w:rsidR="005969C2" w:rsidRDefault="005969C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96E7B6F" w14:textId="77777777" w:rsidR="005969C2" w:rsidRDefault="005969C2">
                        <w:pPr>
                          <w:pStyle w:val="Heading2"/>
                          <w:rPr>
                            <w:rFonts w:eastAsia="Times New Roman"/>
                            <w:color w:val="93378A"/>
                          </w:rPr>
                        </w:pPr>
                        <w:r>
                          <w:rPr>
                            <w:rFonts w:eastAsia="Times New Roman"/>
                            <w:color w:val="93378A"/>
                          </w:rPr>
                          <w:t>Friday 7th October 2022</w:t>
                        </w:r>
                      </w:p>
                    </w:tc>
                  </w:tr>
                </w:tbl>
                <w:p w14:paraId="1F914088" w14:textId="77777777" w:rsidR="005969C2" w:rsidRDefault="005969C2">
                  <w:pPr>
                    <w:rPr>
                      <w:rFonts w:ascii="Times New Roman" w:eastAsia="Times New Roman" w:hAnsi="Times New Roman" w:cs="Times New Roman"/>
                      <w:sz w:val="20"/>
                      <w:szCs w:val="20"/>
                    </w:rPr>
                  </w:pPr>
                </w:p>
              </w:tc>
            </w:tr>
            <w:tr w:rsidR="005969C2" w14:paraId="1E695C90" w14:textId="77777777">
              <w:tblPrEx>
                <w:shd w:val="clear" w:color="auto" w:fill="auto"/>
              </w:tblPrEx>
              <w:trPr>
                <w:tblCellSpacing w:w="0" w:type="dxa"/>
                <w:jc w:val="center"/>
              </w:trPr>
              <w:tc>
                <w:tcPr>
                  <w:tcW w:w="9000" w:type="dxa"/>
                  <w:hideMark/>
                </w:tcPr>
                <w:p w14:paraId="26B23A0A" w14:textId="24671713" w:rsidR="005969C2" w:rsidRDefault="005969C2">
                  <w:pPr>
                    <w:rPr>
                      <w:rFonts w:eastAsia="Times New Roman"/>
                    </w:rPr>
                  </w:pPr>
                  <w:r>
                    <w:rPr>
                      <w:rFonts w:eastAsia="Times New Roman"/>
                      <w:noProof/>
                    </w:rPr>
                    <w:drawing>
                      <wp:inline distT="0" distB="0" distL="0" distR="0" wp14:anchorId="0925F930" wp14:editId="5150D0C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969C2" w14:paraId="41DDFA8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969C2" w14:paraId="3B3B510E" w14:textId="77777777">
                    <w:trPr>
                      <w:trHeight w:val="150"/>
                      <w:tblCellSpacing w:w="15" w:type="dxa"/>
                      <w:jc w:val="center"/>
                    </w:trPr>
                    <w:tc>
                      <w:tcPr>
                        <w:tcW w:w="150" w:type="dxa"/>
                        <w:vAlign w:val="center"/>
                        <w:hideMark/>
                      </w:tcPr>
                      <w:p w14:paraId="4B10CC5D" w14:textId="77777777" w:rsidR="005969C2" w:rsidRDefault="005969C2">
                        <w:pPr>
                          <w:rPr>
                            <w:rFonts w:eastAsia="Times New Roman"/>
                          </w:rPr>
                        </w:pPr>
                      </w:p>
                    </w:tc>
                    <w:tc>
                      <w:tcPr>
                        <w:tcW w:w="8700" w:type="dxa"/>
                        <w:vAlign w:val="center"/>
                        <w:hideMark/>
                      </w:tcPr>
                      <w:p w14:paraId="5E7CF3A2" w14:textId="77777777" w:rsidR="005969C2" w:rsidRDefault="005969C2">
                        <w:pPr>
                          <w:rPr>
                            <w:rFonts w:ascii="Times New Roman" w:eastAsia="Times New Roman" w:hAnsi="Times New Roman" w:cs="Times New Roman"/>
                            <w:sz w:val="20"/>
                            <w:szCs w:val="20"/>
                          </w:rPr>
                        </w:pPr>
                      </w:p>
                    </w:tc>
                    <w:tc>
                      <w:tcPr>
                        <w:tcW w:w="150" w:type="dxa"/>
                        <w:vAlign w:val="center"/>
                        <w:hideMark/>
                      </w:tcPr>
                      <w:p w14:paraId="7A9B849C" w14:textId="77777777" w:rsidR="005969C2" w:rsidRDefault="005969C2">
                        <w:pPr>
                          <w:rPr>
                            <w:rFonts w:ascii="Times New Roman" w:eastAsia="Times New Roman" w:hAnsi="Times New Roman" w:cs="Times New Roman"/>
                            <w:sz w:val="20"/>
                            <w:szCs w:val="20"/>
                          </w:rPr>
                        </w:pPr>
                      </w:p>
                    </w:tc>
                  </w:tr>
                  <w:tr w:rsidR="005969C2" w14:paraId="128BBCA3" w14:textId="77777777">
                    <w:trPr>
                      <w:tblCellSpacing w:w="15" w:type="dxa"/>
                      <w:jc w:val="center"/>
                    </w:trPr>
                    <w:tc>
                      <w:tcPr>
                        <w:tcW w:w="150" w:type="dxa"/>
                        <w:vAlign w:val="center"/>
                        <w:hideMark/>
                      </w:tcPr>
                      <w:p w14:paraId="6DA14DA4" w14:textId="77777777" w:rsidR="005969C2" w:rsidRDefault="005969C2" w:rsidP="005969C2">
                        <w:pPr>
                          <w:spacing w:line="264" w:lineRule="auto"/>
                          <w:rPr>
                            <w:rFonts w:ascii="Times New Roman" w:eastAsia="Times New Roman" w:hAnsi="Times New Roman" w:cs="Times New Roman"/>
                            <w:sz w:val="20"/>
                            <w:szCs w:val="20"/>
                          </w:rPr>
                        </w:pPr>
                      </w:p>
                    </w:tc>
                    <w:tc>
                      <w:tcPr>
                        <w:tcW w:w="8700" w:type="dxa"/>
                        <w:vAlign w:val="center"/>
                        <w:hideMark/>
                      </w:tcPr>
                      <w:p w14:paraId="602C7853"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510E9C9"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D54995">
                            <v:rect id="_x0000_i1032" style="width:468pt;height:1.5pt" o:hrstd="t" o:hr="t" fillcolor="#a0a0a0" stroked="f"/>
                          </w:pict>
                        </w:r>
                      </w:p>
                      <w:p w14:paraId="14E59180" w14:textId="77777777" w:rsidR="005969C2" w:rsidRDefault="005969C2" w:rsidP="005969C2">
                        <w:pPr>
                          <w:pStyle w:val="Heading2"/>
                          <w:spacing w:after="0"/>
                          <w:rPr>
                            <w:rFonts w:eastAsia="Times New Roman"/>
                          </w:rPr>
                        </w:pPr>
                        <w:r>
                          <w:rPr>
                            <w:rFonts w:eastAsia="Times New Roman"/>
                          </w:rPr>
                          <w:t>In this update: Managing a temporary closure; CPCF webinar now on-demand; expiry of SSP034; MYS maintenance; new PSNC Regional Representative.</w:t>
                        </w:r>
                      </w:p>
                      <w:p w14:paraId="460B87EF"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17493DF">
                            <v:rect id="_x0000_i1033" style="width:468pt;height:1.5pt" o:hrstd="t" o:hr="t" fillcolor="#a0a0a0" stroked="f"/>
                          </w:pict>
                        </w:r>
                      </w:p>
                      <w:p w14:paraId="436AAAA6" w14:textId="77777777" w:rsidR="005969C2" w:rsidRDefault="005969C2" w:rsidP="005969C2">
                        <w:pPr>
                          <w:pStyle w:val="Heading2"/>
                          <w:spacing w:after="0"/>
                          <w:rPr>
                            <w:rFonts w:eastAsia="Times New Roman"/>
                          </w:rPr>
                        </w:pPr>
                        <w:r>
                          <w:rPr>
                            <w:rFonts w:eastAsia="Times New Roman"/>
                          </w:rPr>
                          <w:t>Unplanned temporary closures for reasons beyond a contractor's control</w:t>
                        </w:r>
                      </w:p>
                      <w:p w14:paraId="6E217F70"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acknowledges that the current workforce pressures are leading to unplanned temporary closures that are beyond contractors’ control. However, in these circumstances, if contractors follow appropriate procedures to mitigate the effects of the closure on patients, the public, the NHS, and other community pharmacy contractors, they should avoid breaching their terms of service.</w:t>
                        </w:r>
                        <w:r>
                          <w:rPr>
                            <w:rFonts w:ascii="Tahoma" w:eastAsia="Times New Roman" w:hAnsi="Tahoma" w:cs="Tahoma"/>
                            <w:color w:val="303030"/>
                            <w:sz w:val="21"/>
                            <w:szCs w:val="21"/>
                          </w:rPr>
                          <w:br/>
                        </w:r>
                        <w:r>
                          <w:rPr>
                            <w:rFonts w:ascii="Tahoma" w:eastAsia="Times New Roman" w:hAnsi="Tahoma" w:cs="Tahoma"/>
                            <w:color w:val="303030"/>
                            <w:sz w:val="21"/>
                            <w:szCs w:val="21"/>
                          </w:rPr>
                          <w:br/>
                          <w:t>The procedures, as well as closing the premises and restricting entry/access, include notifying NHS England as soon as practical, updating the pharmacy's Directory of Service (DoS) and NHS website information, trying to reopen the pharmacy, and making alternative arrangements for the provision of NHS pharmacy services.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how to mitigate the impact of unplanned closures</w:t>
                          </w:r>
                        </w:hyperlink>
                        <w:r>
                          <w:rPr>
                            <w:rFonts w:ascii="Tahoma" w:eastAsia="Times New Roman" w:hAnsi="Tahoma" w:cs="Tahoma"/>
                            <w:color w:val="303030"/>
                            <w:sz w:val="21"/>
                            <w:szCs w:val="21"/>
                          </w:rPr>
                          <w:t xml:space="preserve"> </w:t>
                        </w:r>
                      </w:p>
                      <w:p w14:paraId="1622E36D"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059BB6F">
                            <v:rect id="_x0000_i1034" style="width:468pt;height:1.5pt" o:hrstd="t" o:hr="t" fillcolor="#a0a0a0" stroked="f"/>
                          </w:pict>
                        </w:r>
                      </w:p>
                      <w:p w14:paraId="537B8A43" w14:textId="77777777" w:rsidR="005969C2" w:rsidRDefault="005969C2" w:rsidP="005969C2">
                        <w:pPr>
                          <w:pStyle w:val="Heading2"/>
                          <w:spacing w:after="0"/>
                          <w:rPr>
                            <w:rFonts w:eastAsia="Times New Roman"/>
                          </w:rPr>
                        </w:pPr>
                        <w:r>
                          <w:rPr>
                            <w:rFonts w:eastAsia="Times New Roman"/>
                          </w:rPr>
                          <w:t>CPCF Webinar now available on-demand</w:t>
                        </w:r>
                      </w:p>
                      <w:p w14:paraId="457418FC"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can now access a recording of PSNC’s recent webinar on the arrangements for the Community Pharmacy Contractual Framework (CPCF) in 2022/23 (Year 4) and 2023/24 (Year 5).</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During the webinar, viewers heard about the arrangements that have been agreed and PSNC's CEO discussed the context to </w:t>
                        </w:r>
                        <w:proofErr w:type="gramStart"/>
                        <w:r>
                          <w:rPr>
                            <w:rFonts w:ascii="Tahoma" w:eastAsia="Times New Roman" w:hAnsi="Tahoma" w:cs="Tahoma"/>
                            <w:color w:val="303030"/>
                            <w:sz w:val="21"/>
                            <w:szCs w:val="21"/>
                          </w:rPr>
                          <w:t>agreeing</w:t>
                        </w:r>
                        <w:proofErr w:type="gramEnd"/>
                        <w:r>
                          <w:rPr>
                            <w:rFonts w:ascii="Tahoma" w:eastAsia="Times New Roman" w:hAnsi="Tahoma" w:cs="Tahoma"/>
                            <w:color w:val="303030"/>
                            <w:sz w:val="21"/>
                            <w:szCs w:val="21"/>
                          </w:rPr>
                          <w:t xml:space="preserve"> the deal as well as her plans going forwards. Almost nine in ten said that they would recommend it to others and 93% of attendees said that they found it useful.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Watch the webinar</w:t>
                          </w:r>
                        </w:hyperlink>
                        <w:r>
                          <w:rPr>
                            <w:rFonts w:ascii="Tahoma" w:eastAsia="Times New Roman" w:hAnsi="Tahoma" w:cs="Tahoma"/>
                            <w:color w:val="303030"/>
                            <w:sz w:val="21"/>
                            <w:szCs w:val="21"/>
                          </w:rPr>
                          <w:t xml:space="preserve"> </w:t>
                        </w:r>
                      </w:p>
                      <w:p w14:paraId="11EF63ED"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7880F8">
                            <v:rect id="_x0000_i1035" style="width:468pt;height:1.5pt" o:hrstd="t" o:hr="t" fillcolor="#a0a0a0" stroked="f"/>
                          </w:pict>
                        </w:r>
                      </w:p>
                      <w:p w14:paraId="27D92F8D" w14:textId="77777777" w:rsidR="005969C2" w:rsidRDefault="005969C2" w:rsidP="005969C2">
                        <w:pPr>
                          <w:pStyle w:val="Heading2"/>
                          <w:spacing w:after="0"/>
                          <w:rPr>
                            <w:rFonts w:eastAsia="Times New Roman"/>
                          </w:rPr>
                        </w:pPr>
                        <w:r>
                          <w:rPr>
                            <w:rFonts w:eastAsia="Times New Roman"/>
                          </w:rPr>
                          <w:t>Expiry of SSP034</w:t>
                        </w:r>
                      </w:p>
                      <w:p w14:paraId="5201ED64"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Serious Shortage Protocol for Combisal®125mcg/25mcg inhalers (SSP034) </w:t>
                        </w:r>
                        <w:proofErr w:type="gramStart"/>
                        <w:r>
                          <w:rPr>
                            <w:rFonts w:ascii="Tahoma" w:eastAsia="Times New Roman" w:hAnsi="Tahoma" w:cs="Tahoma"/>
                            <w:color w:val="303030"/>
                            <w:sz w:val="21"/>
                            <w:szCs w:val="21"/>
                          </w:rPr>
                          <w:t>is</w:t>
                        </w:r>
                        <w:proofErr w:type="gramEnd"/>
                        <w:r>
                          <w:rPr>
                            <w:rFonts w:ascii="Tahoma" w:eastAsia="Times New Roman" w:hAnsi="Tahoma" w:cs="Tahoma"/>
                            <w:color w:val="303030"/>
                            <w:sz w:val="21"/>
                            <w:szCs w:val="21"/>
                          </w:rPr>
                          <w:t xml:space="preserve"> due to expire at </w:t>
                        </w:r>
                        <w:r>
                          <w:rPr>
                            <w:rStyle w:val="Strong"/>
                            <w:rFonts w:ascii="Tahoma" w:eastAsia="Times New Roman" w:hAnsi="Tahoma" w:cs="Tahoma"/>
                            <w:color w:val="303030"/>
                            <w:sz w:val="21"/>
                            <w:szCs w:val="21"/>
                          </w:rPr>
                          <w:t>23.59pm today (7th October 2022)</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Read PSNC's top tips for SSP claims</w:t>
                          </w:r>
                        </w:hyperlink>
                        <w:r>
                          <w:rPr>
                            <w:rFonts w:ascii="Tahoma" w:eastAsia="Times New Roman" w:hAnsi="Tahoma" w:cs="Tahoma"/>
                            <w:color w:val="303030"/>
                            <w:sz w:val="21"/>
                            <w:szCs w:val="21"/>
                          </w:rPr>
                          <w:t xml:space="preserve"> </w:t>
                        </w:r>
                      </w:p>
                      <w:p w14:paraId="2EFD05DF"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F8764C">
                            <v:rect id="_x0000_i1036" style="width:468pt;height:1.5pt" o:hrstd="t" o:hr="t" fillcolor="#a0a0a0" stroked="f"/>
                          </w:pict>
                        </w:r>
                      </w:p>
                      <w:p w14:paraId="3BD70F1C" w14:textId="77777777" w:rsidR="005969C2" w:rsidRDefault="005969C2" w:rsidP="005969C2">
                        <w:pPr>
                          <w:pStyle w:val="Heading2"/>
                          <w:spacing w:after="0"/>
                          <w:rPr>
                            <w:rFonts w:eastAsia="Times New Roman"/>
                          </w:rPr>
                        </w:pPr>
                        <w:r>
                          <w:rPr>
                            <w:rFonts w:eastAsia="Times New Roman"/>
                          </w:rPr>
                          <w:t>MYS maintenance</w:t>
                        </w:r>
                      </w:p>
                      <w:p w14:paraId="446B6982"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NHS Business Service Authority (NHSBSA) will be carrying out essential maintenance on Manage Your Service (MYS) over the weekend, which means the flu vaccination service within MYS will be unavailable until 2pm on Monday (10th October). Other services in MYS will be unaffected by the maintenance work. </w:t>
                        </w:r>
                      </w:p>
                      <w:p w14:paraId="67BB6CE0"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DF110A">
                            <v:rect id="_x0000_i1037" style="width:468pt;height:1.5pt" o:hrstd="t" o:hr="t" fillcolor="#a0a0a0" stroked="f"/>
                          </w:pict>
                        </w:r>
                      </w:p>
                      <w:p w14:paraId="1C4CC69D" w14:textId="77777777" w:rsidR="005969C2" w:rsidRDefault="005969C2" w:rsidP="005969C2">
                        <w:pPr>
                          <w:pStyle w:val="Heading2"/>
                          <w:spacing w:after="0"/>
                          <w:rPr>
                            <w:rFonts w:eastAsia="Times New Roman"/>
                          </w:rPr>
                        </w:pPr>
                        <w:r>
                          <w:rPr>
                            <w:rFonts w:eastAsia="Times New Roman"/>
                          </w:rPr>
                          <w:t xml:space="preserve">New PSNC </w:t>
                        </w:r>
                        <w:proofErr w:type="gramStart"/>
                        <w:r>
                          <w:rPr>
                            <w:rFonts w:eastAsia="Times New Roman"/>
                          </w:rPr>
                          <w:t>North East</w:t>
                        </w:r>
                        <w:proofErr w:type="gramEnd"/>
                        <w:r>
                          <w:rPr>
                            <w:rFonts w:eastAsia="Times New Roman"/>
                          </w:rPr>
                          <w:t xml:space="preserve"> and Cumbria Regional Representative</w:t>
                        </w:r>
                      </w:p>
                      <w:p w14:paraId="486C2477" w14:textId="77777777" w:rsidR="005969C2" w:rsidRDefault="005969C2" w:rsidP="005969C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is pleased to announce that Sunil Kumar, an independent contractor from Darlington, has been appointed as the Regional Representative for the </w:t>
                        </w:r>
                        <w:proofErr w:type="gramStart"/>
                        <w:r>
                          <w:rPr>
                            <w:rFonts w:ascii="Tahoma" w:eastAsia="Times New Roman" w:hAnsi="Tahoma" w:cs="Tahoma"/>
                            <w:color w:val="303030"/>
                            <w:sz w:val="21"/>
                            <w:szCs w:val="21"/>
                          </w:rPr>
                          <w:t>North East</w:t>
                        </w:r>
                        <w:proofErr w:type="gramEnd"/>
                        <w:r>
                          <w:rPr>
                            <w:rFonts w:ascii="Tahoma" w:eastAsia="Times New Roman" w:hAnsi="Tahoma" w:cs="Tahoma"/>
                            <w:color w:val="303030"/>
                            <w:sz w:val="21"/>
                            <w:szCs w:val="21"/>
                          </w:rPr>
                          <w:t xml:space="preserve"> and Cumbria region. </w:t>
                        </w:r>
                        <w:r>
                          <w:rPr>
                            <w:rFonts w:ascii="Tahoma" w:eastAsia="Times New Roman" w:hAnsi="Tahoma" w:cs="Tahoma"/>
                            <w:color w:val="303030"/>
                            <w:sz w:val="21"/>
                            <w:szCs w:val="21"/>
                          </w:rPr>
                          <w:br/>
                        </w:r>
                        <w:r>
                          <w:rPr>
                            <w:rFonts w:ascii="Tahoma" w:eastAsia="Times New Roman" w:hAnsi="Tahoma" w:cs="Tahoma"/>
                            <w:color w:val="303030"/>
                            <w:sz w:val="21"/>
                            <w:szCs w:val="21"/>
                          </w:rPr>
                          <w:br/>
                          <w:t>Sunil’s appointment follows the resignation in May this year of Mark Burdon, who spent 16 years as a PSNC Member. PSNC would like to thank Mark once again for his considerable work during his time on PSNC and welcome Sunil to his new role.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 about Sunil's appointment</w:t>
                          </w:r>
                        </w:hyperlink>
                      </w:p>
                    </w:tc>
                    <w:tc>
                      <w:tcPr>
                        <w:tcW w:w="150" w:type="dxa"/>
                        <w:vAlign w:val="center"/>
                        <w:hideMark/>
                      </w:tcPr>
                      <w:p w14:paraId="77BFC23E" w14:textId="77777777" w:rsidR="005969C2" w:rsidRDefault="005969C2">
                        <w:pPr>
                          <w:rPr>
                            <w:rFonts w:ascii="Tahoma" w:eastAsia="Times New Roman" w:hAnsi="Tahoma" w:cs="Tahoma"/>
                            <w:color w:val="303030"/>
                            <w:sz w:val="21"/>
                            <w:szCs w:val="21"/>
                          </w:rPr>
                        </w:pPr>
                      </w:p>
                    </w:tc>
                  </w:tr>
                  <w:tr w:rsidR="005969C2" w14:paraId="1C4834FA" w14:textId="77777777">
                    <w:trPr>
                      <w:trHeight w:val="150"/>
                      <w:tblCellSpacing w:w="15" w:type="dxa"/>
                      <w:jc w:val="center"/>
                    </w:trPr>
                    <w:tc>
                      <w:tcPr>
                        <w:tcW w:w="150" w:type="dxa"/>
                        <w:vAlign w:val="center"/>
                        <w:hideMark/>
                      </w:tcPr>
                      <w:p w14:paraId="15D0734A" w14:textId="77777777" w:rsidR="005969C2" w:rsidRDefault="005969C2">
                        <w:pPr>
                          <w:rPr>
                            <w:rFonts w:ascii="Times New Roman" w:eastAsia="Times New Roman" w:hAnsi="Times New Roman" w:cs="Times New Roman"/>
                            <w:sz w:val="20"/>
                            <w:szCs w:val="20"/>
                          </w:rPr>
                        </w:pPr>
                      </w:p>
                    </w:tc>
                    <w:tc>
                      <w:tcPr>
                        <w:tcW w:w="8700" w:type="dxa"/>
                        <w:vAlign w:val="center"/>
                        <w:hideMark/>
                      </w:tcPr>
                      <w:p w14:paraId="78E38897" w14:textId="77777777" w:rsidR="005969C2" w:rsidRDefault="005969C2">
                        <w:pPr>
                          <w:rPr>
                            <w:rFonts w:ascii="Times New Roman" w:eastAsia="Times New Roman" w:hAnsi="Times New Roman" w:cs="Times New Roman"/>
                            <w:sz w:val="20"/>
                            <w:szCs w:val="20"/>
                          </w:rPr>
                        </w:pPr>
                      </w:p>
                    </w:tc>
                    <w:tc>
                      <w:tcPr>
                        <w:tcW w:w="150" w:type="dxa"/>
                        <w:vAlign w:val="center"/>
                        <w:hideMark/>
                      </w:tcPr>
                      <w:p w14:paraId="4BFBF739" w14:textId="77777777" w:rsidR="005969C2" w:rsidRDefault="005969C2">
                        <w:pPr>
                          <w:rPr>
                            <w:rFonts w:ascii="Times New Roman" w:eastAsia="Times New Roman" w:hAnsi="Times New Roman" w:cs="Times New Roman"/>
                            <w:sz w:val="20"/>
                            <w:szCs w:val="20"/>
                          </w:rPr>
                        </w:pPr>
                      </w:p>
                    </w:tc>
                  </w:tr>
                </w:tbl>
                <w:p w14:paraId="19252A8C" w14:textId="77777777" w:rsidR="005969C2" w:rsidRDefault="005969C2">
                  <w:pPr>
                    <w:jc w:val="center"/>
                    <w:rPr>
                      <w:rFonts w:ascii="Times New Roman" w:eastAsia="Times New Roman" w:hAnsi="Times New Roman" w:cs="Times New Roman"/>
                      <w:sz w:val="20"/>
                      <w:szCs w:val="20"/>
                    </w:rPr>
                  </w:pPr>
                </w:p>
              </w:tc>
            </w:tr>
          </w:tbl>
          <w:p w14:paraId="7BE0D353" w14:textId="77777777" w:rsidR="005969C2" w:rsidRDefault="005969C2">
            <w:pPr>
              <w:jc w:val="center"/>
              <w:rPr>
                <w:rFonts w:ascii="Times New Roman" w:eastAsia="Times New Roman" w:hAnsi="Times New Roman" w:cs="Times New Roman"/>
                <w:sz w:val="20"/>
                <w:szCs w:val="20"/>
              </w:rPr>
            </w:pPr>
          </w:p>
        </w:tc>
      </w:tr>
      <w:tr w:rsidR="005969C2" w14:paraId="2D28627B" w14:textId="77777777" w:rsidTr="005969C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969C2" w14:paraId="5248360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969C2" w14:paraId="270C2FBF" w14:textId="77777777">
                    <w:trPr>
                      <w:tblCellSpacing w:w="0" w:type="dxa"/>
                      <w:jc w:val="center"/>
                    </w:trPr>
                    <w:tc>
                      <w:tcPr>
                        <w:tcW w:w="3000" w:type="dxa"/>
                        <w:tcMar>
                          <w:top w:w="30" w:type="dxa"/>
                          <w:left w:w="75" w:type="dxa"/>
                          <w:bottom w:w="30" w:type="dxa"/>
                          <w:right w:w="75" w:type="dxa"/>
                        </w:tcMar>
                        <w:hideMark/>
                      </w:tcPr>
                      <w:p w14:paraId="62B2B8EE" w14:textId="77777777" w:rsidR="005969C2" w:rsidRDefault="005969C2">
                        <w:pPr>
                          <w:pStyle w:val="Heading4"/>
                          <w:jc w:val="center"/>
                          <w:rPr>
                            <w:rFonts w:eastAsia="Times New Roman"/>
                          </w:rPr>
                        </w:pPr>
                        <w:r>
                          <w:rPr>
                            <w:rFonts w:eastAsia="Times New Roman"/>
                          </w:rPr>
                          <w:lastRenderedPageBreak/>
                          <w:t>Pharmaceutical Services Negotiating Committee</w:t>
                        </w:r>
                      </w:p>
                      <w:p w14:paraId="7D6D6909" w14:textId="1012EC71" w:rsidR="005969C2" w:rsidRDefault="005969C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89D4E6E" wp14:editId="01B17645">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D6825E" wp14:editId="7DE6B6EC">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541C29" wp14:editId="622585F6">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2C94871" wp14:editId="2ED47DB1">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96371A8" w14:textId="77777777" w:rsidR="005969C2" w:rsidRDefault="005969C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969C2" w14:paraId="55AEA94A" w14:textId="77777777" w:rsidTr="005969C2">
                    <w:trPr>
                      <w:trHeight w:val="20"/>
                      <w:tblCellSpacing w:w="0" w:type="dxa"/>
                      <w:jc w:val="center"/>
                    </w:trPr>
                    <w:tc>
                      <w:tcPr>
                        <w:tcW w:w="9000" w:type="dxa"/>
                        <w:tcMar>
                          <w:top w:w="150" w:type="dxa"/>
                          <w:left w:w="0" w:type="dxa"/>
                          <w:bottom w:w="0" w:type="dxa"/>
                          <w:right w:w="0" w:type="dxa"/>
                        </w:tcMar>
                        <w:vAlign w:val="center"/>
                        <w:hideMark/>
                      </w:tcPr>
                      <w:p w14:paraId="19907394" w14:textId="49B8A8AD" w:rsidR="005969C2" w:rsidRDefault="005969C2" w:rsidP="005969C2">
                        <w:pPr>
                          <w:rPr>
                            <w:rFonts w:ascii="Arial" w:eastAsia="Times New Roman" w:hAnsi="Arial" w:cs="Arial"/>
                            <w:color w:val="FFFFFF"/>
                            <w:sz w:val="17"/>
                            <w:szCs w:val="17"/>
                          </w:rPr>
                        </w:pPr>
                      </w:p>
                    </w:tc>
                  </w:tr>
                </w:tbl>
                <w:p w14:paraId="28A16263" w14:textId="77777777" w:rsidR="005969C2" w:rsidRDefault="005969C2">
                  <w:pPr>
                    <w:jc w:val="center"/>
                    <w:rPr>
                      <w:rFonts w:ascii="Times New Roman" w:eastAsia="Times New Roman" w:hAnsi="Times New Roman" w:cs="Times New Roman"/>
                      <w:sz w:val="20"/>
                      <w:szCs w:val="20"/>
                    </w:rPr>
                  </w:pPr>
                </w:p>
              </w:tc>
            </w:tr>
          </w:tbl>
          <w:p w14:paraId="374D57A7" w14:textId="77777777" w:rsidR="005969C2" w:rsidRDefault="005969C2">
            <w:pPr>
              <w:jc w:val="center"/>
              <w:rPr>
                <w:rFonts w:ascii="Times New Roman" w:eastAsia="Times New Roman" w:hAnsi="Times New Roman" w:cs="Times New Roman"/>
                <w:sz w:val="20"/>
                <w:szCs w:val="20"/>
              </w:rPr>
            </w:pPr>
          </w:p>
        </w:tc>
      </w:tr>
    </w:tbl>
    <w:p w14:paraId="0156E719" w14:textId="7CF69762" w:rsidR="005969C2" w:rsidRDefault="005969C2" w:rsidP="005969C2">
      <w:pPr>
        <w:rPr>
          <w:rFonts w:eastAsia="Times New Roman"/>
        </w:rPr>
      </w:pPr>
      <w:r>
        <w:rPr>
          <w:rFonts w:eastAsia="Times New Roman"/>
          <w:noProof/>
        </w:rPr>
        <w:drawing>
          <wp:inline distT="0" distB="0" distL="0" distR="0" wp14:anchorId="2EECFCA8" wp14:editId="673525C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4F1ADA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C2"/>
    <w:rsid w:val="005969C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63BB"/>
  <w15:chartTrackingRefBased/>
  <w15:docId w15:val="{035A2432-DBBF-4B0F-B5B2-45D7B621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C2"/>
    <w:rPr>
      <w:rFonts w:ascii="Calibri" w:hAnsi="Calibri" w:cs="Calibri"/>
      <w:lang w:eastAsia="en-GB"/>
    </w:rPr>
  </w:style>
  <w:style w:type="paragraph" w:styleId="Heading1">
    <w:name w:val="heading 1"/>
    <w:basedOn w:val="Normal"/>
    <w:link w:val="Heading1Char"/>
    <w:uiPriority w:val="9"/>
    <w:qFormat/>
    <w:rsid w:val="005969C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969C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5969C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C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969C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5969C2"/>
    <w:rPr>
      <w:rFonts w:ascii="Tahoma" w:hAnsi="Tahoma" w:cs="Tahoma"/>
      <w:b/>
      <w:bCs/>
      <w:color w:val="FFFFFF"/>
      <w:sz w:val="18"/>
      <w:szCs w:val="18"/>
      <w:lang w:eastAsia="en-GB"/>
    </w:rPr>
  </w:style>
  <w:style w:type="character" w:styleId="Strong">
    <w:name w:val="Strong"/>
    <w:basedOn w:val="DefaultParagraphFont"/>
    <w:uiPriority w:val="22"/>
    <w:qFormat/>
    <w:rsid w:val="005969C2"/>
    <w:rPr>
      <w:b/>
      <w:bCs/>
    </w:rPr>
  </w:style>
  <w:style w:type="character" w:styleId="Hyperlink">
    <w:name w:val="Hyperlink"/>
    <w:basedOn w:val="DefaultParagraphFont"/>
    <w:uiPriority w:val="99"/>
    <w:semiHidden/>
    <w:unhideWhenUsed/>
    <w:rsid w:val="005969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ca24960c6&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4f2b07980d&amp;e=d19e9fd41c" TargetMode="External"/><Relationship Id="rId26" Type="http://schemas.openxmlformats.org/officeDocument/2006/relationships/image" Target="https://psnc.us7.list-manage.com/track/open.php?u=86d41ab7fa4c7c2c5d7210782&amp;id=dc7b93e9a8&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9fad7d914&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c58c77f3e&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469b81d7b&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d5f0fa45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11b6dc850a&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2c18b0b7b5&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2022-10-10T08:21:00Z</dcterms:created>
  <dcterms:modified xsi:type="dcterms:W3CDTF">2022-10-10T08:22:00Z</dcterms:modified>
</cp:coreProperties>
</file>