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852A5A" w14:paraId="751F2498" w14:textId="77777777" w:rsidTr="00852A5A">
        <w:trPr>
          <w:tblCellSpacing w:w="0" w:type="dxa"/>
          <w:jc w:val="center"/>
        </w:trPr>
        <w:tc>
          <w:tcPr>
            <w:tcW w:w="0" w:type="auto"/>
            <w:shd w:val="clear" w:color="auto" w:fill="FFFFFF"/>
          </w:tcPr>
          <w:tbl>
            <w:tblPr>
              <w:tblW w:w="9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2A5A" w14:paraId="356F62E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52A5A" w14:paraId="13025D6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hideMark/>
                      </w:tcPr>
                      <w:p w14:paraId="1BDD473B" w14:textId="6710A428" w:rsidR="00852A5A" w:rsidRDefault="00852A5A">
                        <w:pPr>
                          <w:spacing w:line="264" w:lineRule="auto"/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7"/>
                            <w:szCs w:val="17"/>
                          </w:rPr>
                          <w:t xml:space="preserve"> </w:t>
                        </w:r>
                      </w:p>
                    </w:tc>
                  </w:tr>
                </w:tbl>
                <w:p w14:paraId="5CC61062" w14:textId="77777777" w:rsidR="00852A5A" w:rsidRDefault="00852A5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A5A" w14:paraId="482D2623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tbl>
                  <w:tblPr>
                    <w:tblW w:w="9000" w:type="dxa"/>
                    <w:tblCellSpacing w:w="0" w:type="dxa"/>
                    <w:tblBorders>
                      <w:top w:val="single" w:sz="2" w:space="0" w:color="FFFFFF"/>
                      <w:left w:val="single" w:sz="2" w:space="0" w:color="FFFFFF"/>
                      <w:bottom w:val="single" w:sz="2" w:space="0" w:color="FFFFFF"/>
                      <w:right w:val="single" w:sz="2" w:space="0" w:color="FFFFFF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51"/>
                    <w:gridCol w:w="5049"/>
                  </w:tblGrid>
                  <w:tr w:rsidR="00852A5A" w14:paraId="02ECBC5C" w14:textId="77777777">
                    <w:trPr>
                      <w:gridAfter w:val="1"/>
                      <w:wAfter w:w="3450" w:type="dxa"/>
                      <w:trHeight w:val="230"/>
                      <w:tblCellSpacing w:w="0" w:type="dxa"/>
                    </w:trPr>
                    <w:tc>
                      <w:tcPr>
                        <w:tcW w:w="2700" w:type="dxa"/>
                        <w:vMerge w:val="restart"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364151D2" w14:textId="7BEF8F87" w:rsidR="00852A5A" w:rsidRDefault="00852A5A">
                        <w:pPr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  <w:noProof/>
                          </w:rPr>
                          <w:drawing>
                            <wp:inline distT="0" distB="0" distL="0" distR="0" wp14:anchorId="6D1F36CC" wp14:editId="61AB191E">
                              <wp:extent cx="933450" cy="666750"/>
                              <wp:effectExtent l="0" t="0" r="0" b="0"/>
                              <wp:docPr id="7" name="Picture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r:link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33450" cy="666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52A5A" w14:paraId="744A3EBE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4F02CB72" w14:textId="77777777" w:rsidR="00852A5A" w:rsidRDefault="00852A5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943ACD5" w14:textId="77777777" w:rsidR="00852A5A" w:rsidRDefault="00852A5A">
                        <w:pPr>
                          <w:pStyle w:val="Heading1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Newsletter</w:t>
                        </w:r>
                      </w:p>
                    </w:tc>
                  </w:tr>
                  <w:tr w:rsidR="00852A5A" w14:paraId="12E8CAE0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single" w:sz="2" w:space="0" w:color="FFFFFF"/>
                          <w:right w:val="nil"/>
                        </w:tcBorders>
                        <w:vAlign w:val="center"/>
                        <w:hideMark/>
                      </w:tcPr>
                      <w:p w14:paraId="5F55F748" w14:textId="77777777" w:rsidR="00852A5A" w:rsidRDefault="00852A5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34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0" w:type="dxa"/>
                          <w:left w:w="0" w:type="dxa"/>
                          <w:bottom w:w="30" w:type="dxa"/>
                          <w:right w:w="0" w:type="dxa"/>
                        </w:tcMar>
                        <w:vAlign w:val="center"/>
                        <w:hideMark/>
                      </w:tcPr>
                      <w:p w14:paraId="7FFC7386" w14:textId="77777777" w:rsidR="00852A5A" w:rsidRDefault="00852A5A">
                        <w:pPr>
                          <w:pStyle w:val="Heading2"/>
                          <w:rPr>
                            <w:rFonts w:eastAsia="Times New Roman"/>
                            <w:color w:val="93378A"/>
                          </w:rPr>
                        </w:pPr>
                        <w:r>
                          <w:rPr>
                            <w:rFonts w:eastAsia="Times New Roman"/>
                            <w:color w:val="93378A"/>
                          </w:rPr>
                          <w:t>Wednesday 28th September 2022</w:t>
                        </w:r>
                      </w:p>
                    </w:tc>
                  </w:tr>
                </w:tbl>
                <w:p w14:paraId="07BBBC22" w14:textId="77777777" w:rsidR="00852A5A" w:rsidRDefault="00852A5A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52A5A" w14:paraId="7D88C771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p w14:paraId="071CF8FD" w14:textId="512BB855" w:rsidR="00852A5A" w:rsidRDefault="00852A5A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  <w:noProof/>
                    </w:rPr>
                    <w:drawing>
                      <wp:inline distT="0" distB="0" distL="0" distR="0" wp14:anchorId="618634A8" wp14:editId="55199310">
                        <wp:extent cx="5715000" cy="2095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52A5A" w14:paraId="53862C1D" w14:textId="77777777">
              <w:tblPrEx>
                <w:shd w:val="clear" w:color="auto" w:fill="auto"/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hideMark/>
                </w:tcPr>
                <w:tbl>
                  <w:tblPr>
                    <w:tblW w:w="9000" w:type="dxa"/>
                    <w:jc w:val="center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92"/>
                    <w:gridCol w:w="8616"/>
                    <w:gridCol w:w="192"/>
                  </w:tblGrid>
                  <w:tr w:rsidR="00852A5A" w14:paraId="6F7C6357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03582979" w14:textId="77777777" w:rsidR="00852A5A" w:rsidRDefault="00852A5A">
                        <w:pPr>
                          <w:rPr>
                            <w:rFonts w:eastAsia="Times New Roman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683BBE54" w14:textId="77777777" w:rsidR="00852A5A" w:rsidRDefault="00852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57017F45" w14:textId="77777777" w:rsidR="00852A5A" w:rsidRDefault="00852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852A5A" w14:paraId="792E0FC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11FBE251" w14:textId="77777777" w:rsidR="00852A5A" w:rsidRDefault="00852A5A" w:rsidP="00852A5A">
                        <w:pPr>
                          <w:spacing w:line="264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0725EB83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This newsletter from PSNC is sent on Mondays,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Wednesdays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and Fridays. It contains important information for those that work in the community pharmacy sector.</w:t>
                        </w:r>
                      </w:p>
                      <w:p w14:paraId="54C8A8E6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49EF74E">
                            <v:rect id="_x0000_i1032" style="width:468pt;height:1.5pt" o:hrstd="t" o:hr="t" fillcolor="#a0a0a0" stroked="f"/>
                          </w:pict>
                        </w:r>
                      </w:p>
                      <w:p w14:paraId="3104751E" w14:textId="77777777" w:rsidR="00852A5A" w:rsidRDefault="00852A5A" w:rsidP="00852A5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In this update: Response on future of vacs services; SSP034 extended; October Drug Tariff Watch; extension of temporary register.</w:t>
                        </w:r>
                      </w:p>
                      <w:p w14:paraId="130DD984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11826938">
                            <v:rect id="_x0000_i1033" style="width:468pt;height:1.5pt" o:hrstd="t" o:hr="t" fillcolor="#a0a0a0" stroked="f"/>
                          </w:pict>
                        </w:r>
                      </w:p>
                      <w:p w14:paraId="155E59B9" w14:textId="77777777" w:rsidR="00852A5A" w:rsidRDefault="00852A5A" w:rsidP="00852A5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PSNC submits response on future of vacs services</w:t>
                        </w:r>
                      </w:p>
                      <w:p w14:paraId="5FA4CD98" w14:textId="04767FB5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PSNC has submitted its response to NHS England’s market engagement on the future of vaccination services. The consultation is designed to help NHS England deliver a future vaccination strategy. It aims to support local teams that plan and deliver vaccinations to build on the NHS COVID-19 vaccination programme’s success and learning, and to provide responsive, accessible, convenient and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high quality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NHS vaccination services.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  <w:t xml:space="preserve">PSNC agrees with NHS England’s proposed vision for vaccination services and our response suggests that making a wider range of NHS vaccinations available from community pharmacies could support the achievement of increased vaccination levels. </w:t>
                        </w:r>
                      </w:p>
                      <w:p w14:paraId="510DFFD2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  <w:p w14:paraId="507033AF" w14:textId="77777777" w:rsidR="00852A5A" w:rsidRDefault="00852A5A" w:rsidP="00852A5A">
                        <w:pPr>
                          <w:pStyle w:val="NormalWeb"/>
                          <w:spacing w:before="0" w:beforeAutospacing="0" w:after="0" w:afterAutospacing="0" w:line="264" w:lineRule="auto"/>
                          <w:rPr>
                            <w:rFonts w:ascii="Tahoma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hyperlink r:id="rId8" w:tgtFrame="_blank" w:history="1">
                          <w:r>
                            <w:rPr>
                              <w:rStyle w:val="Hyperlink"/>
                              <w:rFonts w:ascii="Tahoma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Read PSNC’s response to the NHS England consultation</w:t>
                          </w:r>
                        </w:hyperlink>
                      </w:p>
                      <w:p w14:paraId="7B7B96E3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530B42D0">
                            <v:rect id="_x0000_i1034" style="width:468pt;height:1.5pt" o:hrstd="t" o:hr="t" fillcolor="#a0a0a0" stroked="f"/>
                          </w:pict>
                        </w:r>
                      </w:p>
                      <w:p w14:paraId="4F588C42" w14:textId="77777777" w:rsidR="00852A5A" w:rsidRDefault="00852A5A" w:rsidP="00852A5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SSP034 extended</w:t>
                        </w:r>
                      </w:p>
                      <w:p w14:paraId="13099B51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The Serious Shortage Protocol (SSP) for Combisal®125mcg/25mcg inhalers (SSP034) </w:t>
                        </w:r>
                        <w:proofErr w:type="gram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has</w:t>
                        </w:r>
                        <w:proofErr w:type="gram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been further extended to </w:t>
                        </w:r>
                        <w:r>
                          <w:rPr>
                            <w:rStyle w:val="Strong"/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Friday 7th October 2022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. SSP034 was previously expected to expire at 23.59 today (28th September).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9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Learn more about SSP034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72983602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720F0B9D">
                            <v:rect id="_x0000_i1035" style="width:468pt;height:1.5pt" o:hrstd="t" o:hr="t" fillcolor="#a0a0a0" stroked="f"/>
                          </w:pict>
                        </w:r>
                      </w:p>
                      <w:p w14:paraId="545CE4C9" w14:textId="77777777" w:rsidR="00852A5A" w:rsidRDefault="00852A5A" w:rsidP="00852A5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October Drug Tariff Watch</w:t>
                        </w:r>
                      </w:p>
                      <w:p w14:paraId="0AC1C8D1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PSNC's Dispensing and Supply Team has created a summary of the Drug Tariff changes for October 2022. This includes details of additions, deletions and category and price changes. 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0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See the October 2022 Drug Tariff Watch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 </w:t>
                        </w:r>
                      </w:p>
                      <w:p w14:paraId="4741AC94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pict w14:anchorId="463D6F02">
                            <v:rect id="_x0000_i1036" style="width:468pt;height:1.5pt" o:hrstd="t" o:hr="t" fillcolor="#a0a0a0" stroked="f"/>
                          </w:pict>
                        </w:r>
                      </w:p>
                      <w:p w14:paraId="3D867B83" w14:textId="77777777" w:rsidR="00852A5A" w:rsidRDefault="00852A5A" w:rsidP="00852A5A">
                        <w:pPr>
                          <w:pStyle w:val="Heading2"/>
                          <w:spacing w:after="0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t>Temporary register extended</w:t>
                        </w:r>
                      </w:p>
                      <w:p w14:paraId="6B3D30F2" w14:textId="77777777" w:rsidR="00852A5A" w:rsidRDefault="00852A5A" w:rsidP="00852A5A">
                        <w:pPr>
                          <w:spacing w:line="264" w:lineRule="auto"/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The Government has asked the General Pharmaceutical Council (</w:t>
                        </w:r>
                        <w:proofErr w:type="spellStart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>GPhC</w:t>
                        </w:r>
                        <w:proofErr w:type="spellEnd"/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t xml:space="preserve">) to keep the temporary register of pharmacy professionals open for a further two years to continue to 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lastRenderedPageBreak/>
                          <w:t>support the health and social care system. The temporary register was previously expected to close on 30th September 2022.</w:t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  <w:br/>
                        </w:r>
                        <w:hyperlink r:id="rId11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4E3487"/>
                              <w:sz w:val="21"/>
                              <w:szCs w:val="21"/>
                            </w:rPr>
                            <w:t>Find out more</w:t>
                          </w:r>
                        </w:hyperlink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258BA462" w14:textId="77777777" w:rsidR="00852A5A" w:rsidRDefault="00852A5A">
                        <w:pPr>
                          <w:rPr>
                            <w:rFonts w:ascii="Tahoma" w:eastAsia="Times New Roman" w:hAnsi="Tahoma" w:cs="Tahoma"/>
                            <w:color w:val="303030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852A5A" w14:paraId="651C91AA" w14:textId="77777777">
                    <w:trPr>
                      <w:trHeight w:val="150"/>
                      <w:tblCellSpacing w:w="15" w:type="dxa"/>
                      <w:jc w:val="center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14:paraId="77212142" w14:textId="77777777" w:rsidR="00852A5A" w:rsidRDefault="00852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700" w:type="dxa"/>
                        <w:vAlign w:val="center"/>
                        <w:hideMark/>
                      </w:tcPr>
                      <w:p w14:paraId="4D05CF7F" w14:textId="77777777" w:rsidR="00852A5A" w:rsidRDefault="00852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0" w:type="dxa"/>
                        <w:vAlign w:val="center"/>
                        <w:hideMark/>
                      </w:tcPr>
                      <w:p w14:paraId="72F611FA" w14:textId="77777777" w:rsidR="00852A5A" w:rsidRDefault="00852A5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0D0BB0" w14:textId="77777777" w:rsidR="00852A5A" w:rsidRDefault="00852A5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D5731D2" w14:textId="77777777" w:rsidR="00852A5A" w:rsidRDefault="00852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2A5A" w14:paraId="26197D67" w14:textId="77777777" w:rsidTr="00852A5A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3000" w:type="dxa"/>
              <w:jc w:val="center"/>
              <w:tblCellSpacing w:w="0" w:type="dxa"/>
              <w:shd w:val="clear" w:color="auto" w:fill="4E348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852A5A" w14:paraId="17EC77B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4E3487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852A5A" w14:paraId="2306D378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3000" w:type="dxa"/>
                        <w:tcMar>
                          <w:top w:w="30" w:type="dxa"/>
                          <w:left w:w="75" w:type="dxa"/>
                          <w:bottom w:w="30" w:type="dxa"/>
                          <w:right w:w="75" w:type="dxa"/>
                        </w:tcMar>
                        <w:hideMark/>
                      </w:tcPr>
                      <w:p w14:paraId="46CBDD38" w14:textId="77777777" w:rsidR="00852A5A" w:rsidRDefault="00852A5A">
                        <w:pPr>
                          <w:pStyle w:val="Heading4"/>
                          <w:jc w:val="center"/>
                          <w:rPr>
                            <w:rFonts w:eastAsia="Times New Roman"/>
                          </w:rPr>
                        </w:pPr>
                        <w:r>
                          <w:rPr>
                            <w:rFonts w:eastAsia="Times New Roman"/>
                          </w:rPr>
                          <w:lastRenderedPageBreak/>
                          <w:t>Pharmaceutical Services Negotiating Committee</w:t>
                        </w:r>
                      </w:p>
                      <w:p w14:paraId="15F28CE1" w14:textId="44CEB9BE" w:rsidR="00852A5A" w:rsidRDefault="00852A5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DD88C00" wp14:editId="2F28A1AA">
                              <wp:extent cx="609600" cy="304800"/>
                              <wp:effectExtent l="0" t="0" r="0" b="0"/>
                              <wp:docPr id="5" name="Picture 5">
                                <a:hlinkClick xmlns:a="http://schemas.openxmlformats.org/drawingml/2006/main" r:id="rId12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77FA189" wp14:editId="4A47CE36">
                              <wp:extent cx="609600" cy="304800"/>
                              <wp:effectExtent l="0" t="0" r="0" b="0"/>
                              <wp:docPr id="4" name="Picture 4">
                                <a:hlinkClick xmlns:a="http://schemas.openxmlformats.org/drawingml/2006/main" r:id="rId15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3664CDD3" wp14:editId="1A3BE4A8">
                              <wp:extent cx="609600" cy="304800"/>
                              <wp:effectExtent l="0" t="0" r="0" b="0"/>
                              <wp:docPr id="3" name="Picture 3">
                                <a:hlinkClick xmlns:a="http://schemas.openxmlformats.org/drawingml/2006/main" r:id="rId18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 </w:t>
                        </w:r>
                        <w:r>
                          <w:rPr>
                            <w:rFonts w:ascii="Tahoma" w:eastAsia="Times New Roman" w:hAnsi="Tahoma" w:cs="Tahoma"/>
                            <w:b/>
                            <w:noProof/>
                            <w:color w:val="FFFFFF"/>
                            <w:sz w:val="18"/>
                            <w:szCs w:val="18"/>
                          </w:rPr>
                          <w:drawing>
                            <wp:inline distT="0" distB="0" distL="0" distR="0" wp14:anchorId="5438F550" wp14:editId="6890F57A">
                              <wp:extent cx="609600" cy="304800"/>
                              <wp:effectExtent l="0" t="0" r="0" b="0"/>
                              <wp:docPr id="2" name="Picture 2">
                                <a:hlinkClick xmlns:a="http://schemas.openxmlformats.org/drawingml/2006/main" r:id="rId21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 r:link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304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5135DEC" w14:textId="77777777" w:rsidR="00852A5A" w:rsidRDefault="00852A5A">
                        <w:pPr>
                          <w:jc w:val="center"/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>14 Hosier Lane, London, EC1A 9LQ</w:t>
                        </w:r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br/>
                          <w:t>Tel: 0203 1220 810 | Email: </w:t>
                        </w:r>
                        <w:hyperlink r:id="rId24" w:tgtFrame="_blank" w:history="1">
                          <w:r>
                            <w:rPr>
                              <w:rStyle w:val="Hyperlink"/>
                              <w:rFonts w:ascii="Tahoma" w:eastAsia="Times New Roman" w:hAnsi="Tahoma" w:cs="Tahoma"/>
                              <w:b/>
                              <w:bCs/>
                              <w:color w:val="FFFFFF"/>
                              <w:sz w:val="18"/>
                              <w:szCs w:val="18"/>
                            </w:rPr>
                            <w:t>info@psnc.org.uk</w:t>
                          </w:r>
                        </w:hyperlink>
                        <w:r>
                          <w:rPr>
                            <w:rFonts w:ascii="Tahoma" w:eastAsia="Times New Roman" w:hAnsi="Tahoma" w:cs="Tahoma"/>
                            <w:color w:val="FFFFFF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852A5A" w14:paraId="7CD8851C" w14:textId="77777777" w:rsidTr="00852A5A">
                    <w:trPr>
                      <w:trHeight w:val="129"/>
                      <w:tblCellSpacing w:w="0" w:type="dxa"/>
                      <w:jc w:val="center"/>
                    </w:trPr>
                    <w:tc>
                      <w:tcPr>
                        <w:tcW w:w="9000" w:type="dxa"/>
                        <w:tcMar>
                          <w:top w:w="15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14:paraId="57EB66ED" w14:textId="6D5C1A65" w:rsidR="00852A5A" w:rsidRDefault="00852A5A" w:rsidP="00852A5A">
                        <w:pPr>
                          <w:rPr>
                            <w:rFonts w:ascii="Arial" w:eastAsia="Times New Roman" w:hAnsi="Arial" w:cs="Arial"/>
                            <w:color w:val="FFFFFF"/>
                            <w:sz w:val="17"/>
                            <w:szCs w:val="17"/>
                          </w:rPr>
                        </w:pPr>
                      </w:p>
                    </w:tc>
                  </w:tr>
                </w:tbl>
                <w:p w14:paraId="19777C69" w14:textId="77777777" w:rsidR="00852A5A" w:rsidRDefault="00852A5A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5B9DB28" w14:textId="77777777" w:rsidR="00852A5A" w:rsidRDefault="00852A5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AEC932A" w14:textId="4A7AFDEF" w:rsidR="00852A5A" w:rsidRDefault="00852A5A" w:rsidP="00852A5A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 wp14:anchorId="2827D9DA" wp14:editId="51CD4272">
            <wp:extent cx="19050" cy="19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9FCEB" w14:textId="77777777" w:rsidR="00DD1890" w:rsidRDefault="00DD1890"/>
    <w:sectPr w:rsidR="00DD1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5A"/>
    <w:rsid w:val="00852A5A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BE65"/>
  <w15:chartTrackingRefBased/>
  <w15:docId w15:val="{D95FBA2C-65E3-428D-93B3-4D052E696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5A"/>
    <w:rPr>
      <w:rFonts w:ascii="Calibri" w:hAnsi="Calibri" w:cs="Calibri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852A5A"/>
    <w:pPr>
      <w:spacing w:after="75" w:line="264" w:lineRule="auto"/>
      <w:outlineLvl w:val="0"/>
    </w:pPr>
    <w:rPr>
      <w:rFonts w:ascii="Tahoma" w:hAnsi="Tahoma" w:cs="Tahoma"/>
      <w:b/>
      <w:bCs/>
      <w:color w:val="4E3487"/>
      <w:kern w:val="36"/>
      <w:sz w:val="54"/>
      <w:szCs w:val="54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52A5A"/>
    <w:pPr>
      <w:spacing w:after="75" w:line="264" w:lineRule="auto"/>
      <w:outlineLvl w:val="1"/>
    </w:pPr>
    <w:rPr>
      <w:rFonts w:ascii="Tahoma" w:hAnsi="Tahoma" w:cs="Tahoma"/>
      <w:b/>
      <w:bCs/>
      <w:color w:val="4E3487"/>
      <w:sz w:val="30"/>
      <w:szCs w:val="30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852A5A"/>
    <w:pPr>
      <w:spacing w:after="75" w:line="264" w:lineRule="auto"/>
      <w:outlineLvl w:val="3"/>
    </w:pPr>
    <w:rPr>
      <w:rFonts w:ascii="Tahoma" w:hAnsi="Tahoma" w:cs="Tahoma"/>
      <w:b/>
      <w:bC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5A"/>
    <w:rPr>
      <w:rFonts w:ascii="Tahoma" w:hAnsi="Tahoma" w:cs="Tahoma"/>
      <w:b/>
      <w:bCs/>
      <w:color w:val="4E3487"/>
      <w:kern w:val="36"/>
      <w:sz w:val="54"/>
      <w:szCs w:val="5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2A5A"/>
    <w:rPr>
      <w:rFonts w:ascii="Tahoma" w:hAnsi="Tahoma" w:cs="Tahoma"/>
      <w:b/>
      <w:bCs/>
      <w:color w:val="4E3487"/>
      <w:sz w:val="30"/>
      <w:szCs w:val="3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2A5A"/>
    <w:rPr>
      <w:rFonts w:ascii="Tahoma" w:hAnsi="Tahoma" w:cs="Tahoma"/>
      <w:b/>
      <w:bCs/>
      <w:color w:val="FFFFFF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52A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52A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52A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snc.us7.list-manage.com/track/click?u=86d41ab7fa4c7c2c5d7210782&amp;id=f4d0f72f20&amp;e=d19e9fd41c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psnc.us7.list-manage.com/track/click?u=86d41ab7fa4c7c2c5d7210782&amp;id=4d74f07c54&amp;e=d19e9fd41c" TargetMode="External"/><Relationship Id="rId26" Type="http://schemas.openxmlformats.org/officeDocument/2006/relationships/image" Target="https://psnc.us7.list-manage.com/track/open.php?u=86d41ab7fa4c7c2c5d7210782&amp;id=100cc5138c&amp;e=d19e9fd41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snc.us7.list-manage.com/track/click?u=86d41ab7fa4c7c2c5d7210782&amp;id=1e4e046db0&amp;e=d19e9fd41c" TargetMode="External"/><Relationship Id="rId7" Type="http://schemas.openxmlformats.org/officeDocument/2006/relationships/image" Target="http://psnc.org.uk/wp-content/uploads/2013/11/Newsletter-style-bar.png" TargetMode="External"/><Relationship Id="rId12" Type="http://schemas.openxmlformats.org/officeDocument/2006/relationships/hyperlink" Target="https://psnc.us7.list-manage.com/track/click?u=86d41ab7fa4c7c2c5d7210782&amp;id=c32dd3c73b&amp;e=d19e9fd41c" TargetMode="External"/><Relationship Id="rId17" Type="http://schemas.openxmlformats.org/officeDocument/2006/relationships/image" Target="https://gallery.mailchimp.com/86d41ab7fa4c7c2c5d7210782/images/e1475f6b-1081-4509-ab25-9cd7f83d26b2.png" TargetMode="External"/><Relationship Id="rId25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image" Target="https://gallery.mailchimp.com/86d41ab7fa4c7c2c5d7210782/images/cd088afd-0ac0-4498-8ed1-e4199bf882ce.png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psnc.us7.list-manage.com/track/click?u=86d41ab7fa4c7c2c5d7210782&amp;id=435237020f&amp;e=d19e9fd41c" TargetMode="External"/><Relationship Id="rId24" Type="http://schemas.openxmlformats.org/officeDocument/2006/relationships/hyperlink" Target="mailto:info@psnc.org.uk" TargetMode="External"/><Relationship Id="rId5" Type="http://schemas.openxmlformats.org/officeDocument/2006/relationships/image" Target="https://gallery.mailchimp.com/86d41ab7fa4c7c2c5d7210782/images/001d399a-96a4-4e1f-b905-a21d530b5d29.jpg" TargetMode="External"/><Relationship Id="rId15" Type="http://schemas.openxmlformats.org/officeDocument/2006/relationships/hyperlink" Target="https://psnc.us7.list-manage.com/track/click?u=86d41ab7fa4c7c2c5d7210782&amp;id=040a3e9821&amp;e=d19e9fd41c" TargetMode="External"/><Relationship Id="rId23" Type="http://schemas.openxmlformats.org/officeDocument/2006/relationships/image" Target="https://gallery.mailchimp.com/86d41ab7fa4c7c2c5d7210782/images/f5c0845f-f39c-425d-8d3c-deff11493c50.png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psnc.us7.list-manage.com/track/click?u=86d41ab7fa4c7c2c5d7210782&amp;id=93a11b3550&amp;e=d19e9fd41c" TargetMode="External"/><Relationship Id="rId19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hyperlink" Target="https://psnc.us7.list-manage.com/track/click?u=86d41ab7fa4c7c2c5d7210782&amp;id=4afeab6a58&amp;e=d19e9fd41c" TargetMode="External"/><Relationship Id="rId14" Type="http://schemas.openxmlformats.org/officeDocument/2006/relationships/image" Target="https://gallery.mailchimp.com/86d41ab7fa4c7c2c5d7210782/images/5acd9cf1-bdba-4039-b74f-638b444ff5d8.png" TargetMode="External"/><Relationship Id="rId22" Type="http://schemas.openxmlformats.org/officeDocument/2006/relationships/image" Target="media/image6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2022-09-29T07:25:00Z</dcterms:created>
  <dcterms:modified xsi:type="dcterms:W3CDTF">2022-09-29T07:27:00Z</dcterms:modified>
</cp:coreProperties>
</file>