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32758" w14:paraId="73EC19C7" w14:textId="77777777" w:rsidTr="0093275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2758" w14:paraId="2639640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32758" w14:paraId="0FD3676E" w14:textId="77777777">
                    <w:trPr>
                      <w:tblCellSpacing w:w="0" w:type="dxa"/>
                      <w:jc w:val="center"/>
                    </w:trPr>
                    <w:tc>
                      <w:tcPr>
                        <w:tcW w:w="3000" w:type="dxa"/>
                        <w:hideMark/>
                      </w:tcPr>
                      <w:p w14:paraId="6DE546A0" w14:textId="7D5CB127" w:rsidR="00932758" w:rsidRDefault="0093275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C33B1D1" w14:textId="77777777" w:rsidR="00932758" w:rsidRDefault="00932758">
                  <w:pPr>
                    <w:jc w:val="center"/>
                    <w:rPr>
                      <w:rFonts w:ascii="Times New Roman" w:eastAsia="Times New Roman" w:hAnsi="Times New Roman" w:cs="Times New Roman"/>
                      <w:sz w:val="20"/>
                      <w:szCs w:val="20"/>
                    </w:rPr>
                  </w:pPr>
                </w:p>
              </w:tc>
            </w:tr>
            <w:tr w:rsidR="00932758" w14:paraId="512A8D8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32758" w14:paraId="239EEF4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3287F0D" w14:textId="5925DFF4" w:rsidR="00932758" w:rsidRDefault="00932758">
                        <w:pPr>
                          <w:jc w:val="center"/>
                          <w:rPr>
                            <w:rFonts w:eastAsia="Times New Roman"/>
                          </w:rPr>
                        </w:pPr>
                        <w:r>
                          <w:rPr>
                            <w:rFonts w:eastAsia="Times New Roman"/>
                            <w:noProof/>
                          </w:rPr>
                          <w:drawing>
                            <wp:inline distT="0" distB="0" distL="0" distR="0" wp14:anchorId="3429DB15" wp14:editId="3D5AA2D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32758" w14:paraId="1860250A" w14:textId="77777777">
                    <w:trPr>
                      <w:tblCellSpacing w:w="0" w:type="dxa"/>
                    </w:trPr>
                    <w:tc>
                      <w:tcPr>
                        <w:tcW w:w="0" w:type="auto"/>
                        <w:vMerge/>
                        <w:tcBorders>
                          <w:top w:val="nil"/>
                          <w:left w:val="nil"/>
                          <w:bottom w:val="single" w:sz="2" w:space="0" w:color="FFFFFF"/>
                          <w:right w:val="nil"/>
                        </w:tcBorders>
                        <w:vAlign w:val="center"/>
                        <w:hideMark/>
                      </w:tcPr>
                      <w:p w14:paraId="234DD082" w14:textId="77777777" w:rsidR="00932758" w:rsidRDefault="00932758">
                        <w:pPr>
                          <w:rPr>
                            <w:rFonts w:eastAsia="Times New Roman"/>
                          </w:rPr>
                        </w:pPr>
                      </w:p>
                    </w:tc>
                    <w:tc>
                      <w:tcPr>
                        <w:tcW w:w="3450" w:type="dxa"/>
                        <w:tcBorders>
                          <w:top w:val="nil"/>
                          <w:left w:val="nil"/>
                          <w:bottom w:val="nil"/>
                          <w:right w:val="nil"/>
                        </w:tcBorders>
                        <w:vAlign w:val="center"/>
                        <w:hideMark/>
                      </w:tcPr>
                      <w:p w14:paraId="7B44C5AB" w14:textId="77777777" w:rsidR="00932758" w:rsidRDefault="00932758">
                        <w:pPr>
                          <w:pStyle w:val="Heading1"/>
                          <w:rPr>
                            <w:rFonts w:eastAsia="Times New Roman"/>
                          </w:rPr>
                        </w:pPr>
                        <w:r>
                          <w:rPr>
                            <w:rFonts w:eastAsia="Times New Roman"/>
                          </w:rPr>
                          <w:t>PSNC Newsletter</w:t>
                        </w:r>
                      </w:p>
                    </w:tc>
                  </w:tr>
                  <w:tr w:rsidR="00932758" w14:paraId="536312DB" w14:textId="77777777">
                    <w:trPr>
                      <w:tblCellSpacing w:w="0" w:type="dxa"/>
                    </w:trPr>
                    <w:tc>
                      <w:tcPr>
                        <w:tcW w:w="0" w:type="auto"/>
                        <w:vMerge/>
                        <w:tcBorders>
                          <w:top w:val="nil"/>
                          <w:left w:val="nil"/>
                          <w:bottom w:val="single" w:sz="2" w:space="0" w:color="FFFFFF"/>
                          <w:right w:val="nil"/>
                        </w:tcBorders>
                        <w:vAlign w:val="center"/>
                        <w:hideMark/>
                      </w:tcPr>
                      <w:p w14:paraId="3B79A41C" w14:textId="77777777" w:rsidR="00932758" w:rsidRDefault="0093275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49997D8" w14:textId="77777777" w:rsidR="00932758" w:rsidRDefault="00932758">
                        <w:pPr>
                          <w:pStyle w:val="Heading2"/>
                          <w:rPr>
                            <w:rFonts w:eastAsia="Times New Roman"/>
                            <w:color w:val="93378A"/>
                          </w:rPr>
                        </w:pPr>
                        <w:r>
                          <w:rPr>
                            <w:rFonts w:eastAsia="Times New Roman"/>
                            <w:color w:val="93378A"/>
                          </w:rPr>
                          <w:t>Monday 26th September 2022</w:t>
                        </w:r>
                      </w:p>
                    </w:tc>
                  </w:tr>
                </w:tbl>
                <w:p w14:paraId="1AD75026" w14:textId="77777777" w:rsidR="00932758" w:rsidRDefault="00932758">
                  <w:pPr>
                    <w:rPr>
                      <w:rFonts w:ascii="Times New Roman" w:eastAsia="Times New Roman" w:hAnsi="Times New Roman" w:cs="Times New Roman"/>
                      <w:sz w:val="20"/>
                      <w:szCs w:val="20"/>
                    </w:rPr>
                  </w:pPr>
                </w:p>
              </w:tc>
            </w:tr>
            <w:tr w:rsidR="00932758" w14:paraId="6296CEFA" w14:textId="77777777">
              <w:tblPrEx>
                <w:shd w:val="clear" w:color="auto" w:fill="auto"/>
              </w:tblPrEx>
              <w:trPr>
                <w:tblCellSpacing w:w="0" w:type="dxa"/>
                <w:jc w:val="center"/>
              </w:trPr>
              <w:tc>
                <w:tcPr>
                  <w:tcW w:w="9000" w:type="dxa"/>
                  <w:hideMark/>
                </w:tcPr>
                <w:p w14:paraId="688572ED" w14:textId="5B4DA6B2" w:rsidR="00932758" w:rsidRDefault="00932758">
                  <w:pPr>
                    <w:rPr>
                      <w:rFonts w:eastAsia="Times New Roman"/>
                    </w:rPr>
                  </w:pPr>
                  <w:r>
                    <w:rPr>
                      <w:rFonts w:eastAsia="Times New Roman"/>
                      <w:noProof/>
                    </w:rPr>
                    <w:drawing>
                      <wp:inline distT="0" distB="0" distL="0" distR="0" wp14:anchorId="44C6869A" wp14:editId="5D3F2A7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32758" w14:paraId="171749C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32758" w14:paraId="2CEE2E53" w14:textId="77777777">
                    <w:trPr>
                      <w:trHeight w:val="150"/>
                      <w:tblCellSpacing w:w="15" w:type="dxa"/>
                      <w:jc w:val="center"/>
                    </w:trPr>
                    <w:tc>
                      <w:tcPr>
                        <w:tcW w:w="150" w:type="dxa"/>
                        <w:vAlign w:val="center"/>
                        <w:hideMark/>
                      </w:tcPr>
                      <w:p w14:paraId="4E8F47B4" w14:textId="77777777" w:rsidR="00932758" w:rsidRDefault="00932758" w:rsidP="00932758">
                        <w:pPr>
                          <w:spacing w:line="264" w:lineRule="auto"/>
                          <w:rPr>
                            <w:rFonts w:eastAsia="Times New Roman"/>
                          </w:rPr>
                        </w:pPr>
                      </w:p>
                    </w:tc>
                    <w:tc>
                      <w:tcPr>
                        <w:tcW w:w="8700" w:type="dxa"/>
                        <w:vAlign w:val="center"/>
                        <w:hideMark/>
                      </w:tcPr>
                      <w:p w14:paraId="69BE9A08" w14:textId="77777777" w:rsidR="00932758" w:rsidRDefault="00932758" w:rsidP="00932758">
                        <w:pPr>
                          <w:spacing w:line="264" w:lineRule="auto"/>
                          <w:rPr>
                            <w:rFonts w:ascii="Times New Roman" w:eastAsia="Times New Roman" w:hAnsi="Times New Roman" w:cs="Times New Roman"/>
                            <w:sz w:val="20"/>
                            <w:szCs w:val="20"/>
                          </w:rPr>
                        </w:pPr>
                      </w:p>
                    </w:tc>
                    <w:tc>
                      <w:tcPr>
                        <w:tcW w:w="150" w:type="dxa"/>
                        <w:vAlign w:val="center"/>
                        <w:hideMark/>
                      </w:tcPr>
                      <w:p w14:paraId="50281659" w14:textId="77777777" w:rsidR="00932758" w:rsidRDefault="00932758" w:rsidP="00932758">
                        <w:pPr>
                          <w:spacing w:line="264" w:lineRule="auto"/>
                          <w:rPr>
                            <w:rFonts w:ascii="Times New Roman" w:eastAsia="Times New Roman" w:hAnsi="Times New Roman" w:cs="Times New Roman"/>
                            <w:sz w:val="20"/>
                            <w:szCs w:val="20"/>
                          </w:rPr>
                        </w:pPr>
                      </w:p>
                    </w:tc>
                  </w:tr>
                  <w:tr w:rsidR="00932758" w14:paraId="4215EC28" w14:textId="77777777">
                    <w:trPr>
                      <w:tblCellSpacing w:w="15" w:type="dxa"/>
                      <w:jc w:val="center"/>
                    </w:trPr>
                    <w:tc>
                      <w:tcPr>
                        <w:tcW w:w="150" w:type="dxa"/>
                        <w:vAlign w:val="center"/>
                        <w:hideMark/>
                      </w:tcPr>
                      <w:p w14:paraId="4873DF66" w14:textId="77777777" w:rsidR="00932758" w:rsidRDefault="00932758" w:rsidP="00932758">
                        <w:pPr>
                          <w:spacing w:line="264" w:lineRule="auto"/>
                          <w:rPr>
                            <w:rFonts w:ascii="Times New Roman" w:eastAsia="Times New Roman" w:hAnsi="Times New Roman" w:cs="Times New Roman"/>
                            <w:sz w:val="20"/>
                            <w:szCs w:val="20"/>
                          </w:rPr>
                        </w:pPr>
                      </w:p>
                    </w:tc>
                    <w:tc>
                      <w:tcPr>
                        <w:tcW w:w="8700" w:type="dxa"/>
                        <w:vAlign w:val="center"/>
                        <w:hideMark/>
                      </w:tcPr>
                      <w:p w14:paraId="204E1D34" w14:textId="77777777"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FC322DD" w14:textId="77777777"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2690D9">
                            <v:rect id="_x0000_i1032" style="width:468pt;height:1.5pt" o:hrstd="t" o:hr="t" fillcolor="#a0a0a0" stroked="f"/>
                          </w:pict>
                        </w:r>
                      </w:p>
                      <w:p w14:paraId="2C1D635C" w14:textId="77777777" w:rsidR="00932758" w:rsidRDefault="00932758" w:rsidP="00932758">
                        <w:pPr>
                          <w:pStyle w:val="Heading2"/>
                          <w:spacing w:after="0"/>
                          <w:rPr>
                            <w:rFonts w:eastAsia="Times New Roman"/>
                          </w:rPr>
                        </w:pPr>
                        <w:r>
                          <w:rPr>
                            <w:rFonts w:eastAsia="Times New Roman"/>
                          </w:rPr>
                          <w:t>In this update: PSNC CPCF Update; CPCF 2022/23 and 2023/24 information and resources; reminder to update NHS website and DoS profile.</w:t>
                        </w:r>
                      </w:p>
                      <w:p w14:paraId="7E7989A0" w14:textId="77777777"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8F9292">
                            <v:rect id="_x0000_i1033" style="width:468pt;height:1.5pt" o:hrstd="t" o:hr="t" fillcolor="#a0a0a0" stroked="f"/>
                          </w:pict>
                        </w:r>
                      </w:p>
                      <w:p w14:paraId="17A1AABA" w14:textId="77777777" w:rsidR="00932758" w:rsidRDefault="00932758" w:rsidP="00932758">
                        <w:pPr>
                          <w:pStyle w:val="Heading2"/>
                          <w:spacing w:after="0"/>
                          <w:rPr>
                            <w:rFonts w:eastAsia="Times New Roman"/>
                          </w:rPr>
                        </w:pPr>
                        <w:r>
                          <w:rPr>
                            <w:rFonts w:eastAsia="Times New Roman"/>
                          </w:rPr>
                          <w:t>PSNC CPCF Update: Price Concessions Clarification</w:t>
                        </w:r>
                      </w:p>
                      <w:p w14:paraId="301F4EC1" w14:textId="68051735"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announcement of the </w:t>
                        </w:r>
                        <w:hyperlink r:id="rId8" w:tgtFrame="_blank" w:history="1">
                          <w:r>
                            <w:rPr>
                              <w:rStyle w:val="Hyperlink"/>
                              <w:rFonts w:ascii="Tahoma" w:eastAsia="Times New Roman" w:hAnsi="Tahoma" w:cs="Tahoma"/>
                              <w:b/>
                              <w:bCs/>
                              <w:color w:val="4E3487"/>
                              <w:sz w:val="21"/>
                              <w:szCs w:val="21"/>
                            </w:rPr>
                            <w:t>CPCF arrangements for 2022/23 and 2023/24</w:t>
                          </w:r>
                        </w:hyperlink>
                        <w:r>
                          <w:rPr>
                            <w:rFonts w:ascii="Tahoma" w:eastAsia="Times New Roman" w:hAnsi="Tahoma" w:cs="Tahoma"/>
                            <w:color w:val="303030"/>
                            <w:sz w:val="21"/>
                            <w:szCs w:val="21"/>
                          </w:rPr>
                          <w:t xml:space="preserve"> the PSNC Committee have been grateful for the support of many of the national pharmacy bodies, LPCs and contractors. This was a difficult decision for the Committee to take, but we believe securing the £100m margin write-off and other benefits for contractors was a critical first step in seeking extra support for the sector. </w:t>
                        </w:r>
                      </w:p>
                      <w:p w14:paraId="265837C7" w14:textId="77777777" w:rsidR="00932758" w:rsidRDefault="00932758" w:rsidP="00932758">
                        <w:pPr>
                          <w:spacing w:line="264" w:lineRule="auto"/>
                          <w:rPr>
                            <w:rFonts w:ascii="Tahoma" w:eastAsia="Times New Roman" w:hAnsi="Tahoma" w:cs="Tahoma"/>
                            <w:color w:val="303030"/>
                            <w:sz w:val="21"/>
                            <w:szCs w:val="21"/>
                          </w:rPr>
                        </w:pPr>
                      </w:p>
                      <w:p w14:paraId="3C1D09E5" w14:textId="77777777" w:rsidR="00932758" w:rsidRDefault="00932758" w:rsidP="0093275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also noted the statement by the Association of Independent Multiple Pharmacies (AIM) on the CPCF deal, which does not accurately reflect our position on price concessions.</w:t>
                        </w:r>
                      </w:p>
                      <w:p w14:paraId="4111707B" w14:textId="216099DF" w:rsidR="00932758" w:rsidRDefault="00932758" w:rsidP="0093275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Members are deeply concerned about price concessions as we know that pharmacies cannot continue to fund the gap between reimbursement and purchasing prices for some medicines. This is why we continue to challenge concessions on a month-by-month basis, and why we have </w:t>
                        </w:r>
                        <w:hyperlink r:id="rId9" w:tgtFrame="_blank" w:history="1">
                          <w:r>
                            <w:rPr>
                              <w:rStyle w:val="Hyperlink"/>
                              <w:rFonts w:ascii="Tahoma" w:hAnsi="Tahoma" w:cs="Tahoma"/>
                              <w:b/>
                              <w:bCs/>
                              <w:color w:val="4E3487"/>
                              <w:sz w:val="21"/>
                              <w:szCs w:val="21"/>
                            </w:rPr>
                            <w:t>insisted that the Department of Health and Social Care (DHSC) resolve the unmanageable situation</w:t>
                          </w:r>
                        </w:hyperlink>
                        <w:r>
                          <w:rPr>
                            <w:rFonts w:ascii="Tahoma" w:hAnsi="Tahoma" w:cs="Tahoma"/>
                            <w:color w:val="303030"/>
                            <w:sz w:val="21"/>
                            <w:szCs w:val="21"/>
                          </w:rPr>
                          <w:t>.</w:t>
                        </w:r>
                      </w:p>
                      <w:p w14:paraId="11FBCBEB" w14:textId="77777777" w:rsidR="00932758" w:rsidRDefault="00932758" w:rsidP="00932758">
                        <w:pPr>
                          <w:pStyle w:val="NormalWeb"/>
                          <w:spacing w:before="0" w:beforeAutospacing="0" w:after="0" w:afterAutospacing="0" w:line="264" w:lineRule="auto"/>
                          <w:rPr>
                            <w:rFonts w:ascii="Tahoma" w:hAnsi="Tahoma" w:cs="Tahoma"/>
                            <w:color w:val="303030"/>
                            <w:sz w:val="21"/>
                            <w:szCs w:val="21"/>
                          </w:rPr>
                        </w:pPr>
                      </w:p>
                      <w:p w14:paraId="5514F3CD" w14:textId="77777777" w:rsidR="00932758" w:rsidRDefault="00932758" w:rsidP="0093275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Given the urgency of the situation, we ensured that a firm commitment from Government to review the price concession system was included in the CPCF agreement. This helps us to hold them to account and ensure that this happens – we are continuing to put pressure on DHSC to deliver on their promise and have already had further discussions with them since we escalated the situation.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w:t>
                          </w:r>
                        </w:hyperlink>
                      </w:p>
                      <w:p w14:paraId="1FD9E680" w14:textId="77777777"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F6DEA6">
                            <v:rect id="_x0000_i1034" style="width:468pt;height:1.5pt" o:hrstd="t" o:hr="t" fillcolor="#a0a0a0" stroked="f"/>
                          </w:pict>
                        </w:r>
                      </w:p>
                      <w:p w14:paraId="056C8CFA" w14:textId="77777777" w:rsidR="00932758" w:rsidRDefault="00932758" w:rsidP="00932758">
                        <w:pPr>
                          <w:pStyle w:val="Heading2"/>
                          <w:spacing w:after="0"/>
                          <w:rPr>
                            <w:rFonts w:eastAsia="Times New Roman"/>
                          </w:rPr>
                        </w:pPr>
                        <w:r>
                          <w:rPr>
                            <w:rFonts w:eastAsia="Times New Roman"/>
                          </w:rPr>
                          <w:t>CPCF Years 4 and 5: Arrangements and support</w:t>
                        </w:r>
                      </w:p>
                      <w:p w14:paraId="30690972" w14:textId="03CAA9ED"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the </w:t>
                        </w:r>
                        <w:hyperlink r:id="rId11" w:tgtFrame="_blank" w:history="1">
                          <w:r>
                            <w:rPr>
                              <w:rStyle w:val="Hyperlink"/>
                              <w:rFonts w:ascii="Tahoma" w:eastAsia="Times New Roman" w:hAnsi="Tahoma" w:cs="Tahoma"/>
                              <w:b/>
                              <w:bCs/>
                              <w:color w:val="4E3487"/>
                              <w:sz w:val="21"/>
                              <w:szCs w:val="21"/>
                            </w:rPr>
                            <w:t>arrangements for the Community Pharmacy Contractual Framework (CPCF) in 2022/23 and 2023/24</w:t>
                          </w:r>
                        </w:hyperlink>
                        <w:r>
                          <w:rPr>
                            <w:rFonts w:ascii="Tahoma" w:eastAsia="Times New Roman" w:hAnsi="Tahoma" w:cs="Tahoma"/>
                            <w:color w:val="303030"/>
                            <w:sz w:val="21"/>
                            <w:szCs w:val="21"/>
                          </w:rPr>
                          <w:t xml:space="preserve"> have now been agreed. To help contractors to understand the detail of what has been agreed, PSNC has published a short summary briefing. PSNC also plans to hold an online contractor webinar on the CPCF for 2022/23 and 2023/24 on Tuesday 4th October at 7.30pm.</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the Year 4 and Year 5 CPCF summary briefing</w:t>
                          </w:r>
                        </w:hyperlink>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3" w:tgtFrame="_blank" w:history="1">
                          <w:r>
                            <w:rPr>
                              <w:rStyle w:val="Hyperlink"/>
                              <w:rFonts w:ascii="Tahoma" w:eastAsia="Times New Roman" w:hAnsi="Tahoma" w:cs="Tahoma"/>
                              <w:b/>
                              <w:bCs/>
                              <w:color w:val="4E3487"/>
                              <w:sz w:val="21"/>
                              <w:szCs w:val="21"/>
                            </w:rPr>
                            <w:t>Register for the webinar</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Making a start on the new Pharmacy Quality Scheme 2022/23</w:t>
                        </w:r>
                        <w:r>
                          <w:rPr>
                            <w:rFonts w:ascii="Tahoma" w:eastAsia="Times New Roman" w:hAnsi="Tahoma" w:cs="Tahoma"/>
                            <w:color w:val="303030"/>
                            <w:sz w:val="21"/>
                            <w:szCs w:val="21"/>
                          </w:rPr>
                          <w:br/>
                          <w:t>Initial details of the new Pharmacy Quality Scheme (PQS) for this year have also been released as part of the arrangements for the CPCF in 2022/23 and 2023/24.</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PSNC's Services Team has produced a summary briefing outlining the training requirements for the 2022/23 Scheme. Contractors are recommended to make a start on PQS where capacity allows. </w:t>
                        </w:r>
                      </w:p>
                      <w:p w14:paraId="10E59B61" w14:textId="77777777" w:rsidR="00932758" w:rsidRDefault="00932758" w:rsidP="00932758">
                        <w:pPr>
                          <w:spacing w:line="264" w:lineRule="auto"/>
                          <w:rPr>
                            <w:rFonts w:ascii="Tahoma" w:eastAsia="Times New Roman" w:hAnsi="Tahoma" w:cs="Tahoma"/>
                            <w:color w:val="303030"/>
                            <w:sz w:val="21"/>
                            <w:szCs w:val="21"/>
                          </w:rPr>
                        </w:pPr>
                      </w:p>
                      <w:p w14:paraId="489C1DD9" w14:textId="77777777" w:rsidR="00932758" w:rsidRDefault="00932758" w:rsidP="00932758">
                        <w:pPr>
                          <w:pStyle w:val="NormalWeb"/>
                          <w:spacing w:before="0" w:beforeAutospacing="0" w:after="0" w:afterAutospacing="0" w:line="264" w:lineRule="auto"/>
                          <w:rPr>
                            <w:rFonts w:ascii="Tahoma" w:hAnsi="Tahoma" w:cs="Tahoma"/>
                            <w:color w:val="303030"/>
                            <w:sz w:val="21"/>
                            <w:szCs w:val="21"/>
                          </w:rPr>
                        </w:pPr>
                        <w:hyperlink r:id="rId14" w:tgtFrame="_blank" w:history="1">
                          <w:r>
                            <w:rPr>
                              <w:rStyle w:val="Hyperlink"/>
                              <w:rFonts w:ascii="Tahoma" w:hAnsi="Tahoma" w:cs="Tahoma"/>
                              <w:b/>
                              <w:bCs/>
                              <w:color w:val="4E3487"/>
                              <w:sz w:val="21"/>
                              <w:szCs w:val="21"/>
                            </w:rPr>
                            <w:t>Find out more about the 2022/23 PQS</w:t>
                          </w:r>
                        </w:hyperlink>
                      </w:p>
                      <w:p w14:paraId="2831F9F5" w14:textId="77777777"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C890EC">
                            <v:rect id="_x0000_i1035" style="width:468pt;height:1.5pt" o:hrstd="t" o:hr="t" fillcolor="#a0a0a0" stroked="f"/>
                          </w:pict>
                        </w:r>
                      </w:p>
                      <w:p w14:paraId="204EE39A" w14:textId="77777777" w:rsidR="00932758" w:rsidRDefault="00932758" w:rsidP="00932758">
                        <w:pPr>
                          <w:pStyle w:val="Heading2"/>
                          <w:spacing w:after="0"/>
                          <w:rPr>
                            <w:rFonts w:eastAsia="Times New Roman"/>
                          </w:rPr>
                        </w:pPr>
                        <w:r>
                          <w:rPr>
                            <w:rFonts w:eastAsia="Times New Roman"/>
                          </w:rPr>
                          <w:t>Reminder to update NHS website and DoS profile</w:t>
                        </w:r>
                      </w:p>
                      <w:p w14:paraId="0D7E5C3F" w14:textId="77777777" w:rsidR="00932758" w:rsidRDefault="00932758" w:rsidP="009327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of the Terms of Service requirement to ensure they verify and, where necessary, update the information contained in their NHS website profile and their Directory of Services (DoS) profile at least once each quarter of the financial year. For the current financial quarter, the deadline for completing this is </w:t>
                        </w:r>
                        <w:r>
                          <w:rPr>
                            <w:rStyle w:val="Strong"/>
                            <w:rFonts w:ascii="Tahoma" w:eastAsia="Times New Roman" w:hAnsi="Tahoma" w:cs="Tahoma"/>
                            <w:color w:val="303030"/>
                            <w:sz w:val="21"/>
                            <w:szCs w:val="21"/>
                          </w:rPr>
                          <w:t>30th September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Currently </w:t>
                        </w:r>
                        <w:r>
                          <w:rPr>
                            <w:rStyle w:val="Strong"/>
                            <w:rFonts w:ascii="Tahoma" w:eastAsia="Times New Roman" w:hAnsi="Tahoma" w:cs="Tahoma"/>
                            <w:color w:val="303030"/>
                            <w:sz w:val="21"/>
                            <w:szCs w:val="21"/>
                          </w:rPr>
                          <w:t>80%</w:t>
                        </w:r>
                        <w:r>
                          <w:rPr>
                            <w:rFonts w:ascii="Tahoma" w:eastAsia="Times New Roman" w:hAnsi="Tahoma" w:cs="Tahoma"/>
                            <w:color w:val="303030"/>
                            <w:sz w:val="21"/>
                            <w:szCs w:val="21"/>
                          </w:rPr>
                          <w:t xml:space="preserve"> of pharmacy contractors have validated their profiles.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43A5936F" w14:textId="77777777" w:rsidR="00932758" w:rsidRDefault="00932758" w:rsidP="00932758">
                        <w:pPr>
                          <w:spacing w:line="264" w:lineRule="auto"/>
                          <w:rPr>
                            <w:rFonts w:ascii="Tahoma" w:eastAsia="Times New Roman" w:hAnsi="Tahoma" w:cs="Tahoma"/>
                            <w:color w:val="303030"/>
                            <w:sz w:val="21"/>
                            <w:szCs w:val="21"/>
                          </w:rPr>
                        </w:pPr>
                      </w:p>
                    </w:tc>
                  </w:tr>
                  <w:tr w:rsidR="00932758" w14:paraId="683D9E44" w14:textId="77777777">
                    <w:trPr>
                      <w:trHeight w:val="150"/>
                      <w:tblCellSpacing w:w="15" w:type="dxa"/>
                      <w:jc w:val="center"/>
                    </w:trPr>
                    <w:tc>
                      <w:tcPr>
                        <w:tcW w:w="150" w:type="dxa"/>
                        <w:vAlign w:val="center"/>
                        <w:hideMark/>
                      </w:tcPr>
                      <w:p w14:paraId="5E118469" w14:textId="77777777" w:rsidR="00932758" w:rsidRDefault="00932758" w:rsidP="00932758">
                        <w:pPr>
                          <w:spacing w:line="264" w:lineRule="auto"/>
                          <w:rPr>
                            <w:rFonts w:ascii="Times New Roman" w:eastAsia="Times New Roman" w:hAnsi="Times New Roman" w:cs="Times New Roman"/>
                            <w:sz w:val="20"/>
                            <w:szCs w:val="20"/>
                          </w:rPr>
                        </w:pPr>
                      </w:p>
                    </w:tc>
                    <w:tc>
                      <w:tcPr>
                        <w:tcW w:w="8700" w:type="dxa"/>
                        <w:vAlign w:val="center"/>
                        <w:hideMark/>
                      </w:tcPr>
                      <w:p w14:paraId="61118DBA" w14:textId="77777777" w:rsidR="00932758" w:rsidRDefault="00932758" w:rsidP="00932758">
                        <w:pPr>
                          <w:spacing w:line="264" w:lineRule="auto"/>
                          <w:rPr>
                            <w:rFonts w:ascii="Times New Roman" w:eastAsia="Times New Roman" w:hAnsi="Times New Roman" w:cs="Times New Roman"/>
                            <w:sz w:val="20"/>
                            <w:szCs w:val="20"/>
                          </w:rPr>
                        </w:pPr>
                      </w:p>
                    </w:tc>
                    <w:tc>
                      <w:tcPr>
                        <w:tcW w:w="150" w:type="dxa"/>
                        <w:vAlign w:val="center"/>
                        <w:hideMark/>
                      </w:tcPr>
                      <w:p w14:paraId="797713C0" w14:textId="77777777" w:rsidR="00932758" w:rsidRDefault="00932758" w:rsidP="00932758">
                        <w:pPr>
                          <w:spacing w:line="264" w:lineRule="auto"/>
                          <w:rPr>
                            <w:rFonts w:ascii="Times New Roman" w:eastAsia="Times New Roman" w:hAnsi="Times New Roman" w:cs="Times New Roman"/>
                            <w:sz w:val="20"/>
                            <w:szCs w:val="20"/>
                          </w:rPr>
                        </w:pPr>
                      </w:p>
                    </w:tc>
                  </w:tr>
                </w:tbl>
                <w:p w14:paraId="1EED77BD" w14:textId="77777777" w:rsidR="00932758" w:rsidRDefault="00932758" w:rsidP="00932758">
                  <w:pPr>
                    <w:spacing w:line="264" w:lineRule="auto"/>
                    <w:rPr>
                      <w:rFonts w:ascii="Times New Roman" w:eastAsia="Times New Roman" w:hAnsi="Times New Roman" w:cs="Times New Roman"/>
                      <w:sz w:val="20"/>
                      <w:szCs w:val="20"/>
                    </w:rPr>
                  </w:pPr>
                </w:p>
              </w:tc>
            </w:tr>
          </w:tbl>
          <w:p w14:paraId="73753E83" w14:textId="77777777" w:rsidR="00932758" w:rsidRDefault="00932758">
            <w:pPr>
              <w:jc w:val="center"/>
              <w:rPr>
                <w:rFonts w:ascii="Times New Roman" w:eastAsia="Times New Roman" w:hAnsi="Times New Roman" w:cs="Times New Roman"/>
                <w:sz w:val="20"/>
                <w:szCs w:val="20"/>
              </w:rPr>
            </w:pPr>
          </w:p>
        </w:tc>
      </w:tr>
      <w:tr w:rsidR="00932758" w14:paraId="2A0F5119" w14:textId="77777777" w:rsidTr="0093275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2758" w14:paraId="1904406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32758" w14:paraId="45CC9051" w14:textId="77777777">
                    <w:trPr>
                      <w:tblCellSpacing w:w="0" w:type="dxa"/>
                      <w:jc w:val="center"/>
                    </w:trPr>
                    <w:tc>
                      <w:tcPr>
                        <w:tcW w:w="3000" w:type="dxa"/>
                        <w:tcMar>
                          <w:top w:w="30" w:type="dxa"/>
                          <w:left w:w="75" w:type="dxa"/>
                          <w:bottom w:w="30" w:type="dxa"/>
                          <w:right w:w="75" w:type="dxa"/>
                        </w:tcMar>
                        <w:hideMark/>
                      </w:tcPr>
                      <w:p w14:paraId="43A5E09A" w14:textId="77777777" w:rsidR="00932758" w:rsidRDefault="00932758">
                        <w:pPr>
                          <w:pStyle w:val="Heading4"/>
                          <w:jc w:val="center"/>
                          <w:rPr>
                            <w:rFonts w:eastAsia="Times New Roman"/>
                          </w:rPr>
                        </w:pPr>
                        <w:r>
                          <w:rPr>
                            <w:rFonts w:eastAsia="Times New Roman"/>
                          </w:rPr>
                          <w:lastRenderedPageBreak/>
                          <w:t>Pharmaceutical Services Negotiating Committee</w:t>
                        </w:r>
                      </w:p>
                      <w:p w14:paraId="4DA650C8" w14:textId="19727BBF" w:rsidR="00932758" w:rsidRDefault="0093275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56C8912" wp14:editId="719FC5C1">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FD3617C" wp14:editId="25ACA1A1">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4FCC41" wp14:editId="467B6C35">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5BBD44" wp14:editId="46B7B83A">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075E486" w14:textId="77777777" w:rsidR="00932758" w:rsidRDefault="0093275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32758" w14:paraId="6D276104" w14:textId="77777777" w:rsidTr="00932758">
                    <w:trPr>
                      <w:trHeight w:val="77"/>
                      <w:tblCellSpacing w:w="0" w:type="dxa"/>
                      <w:jc w:val="center"/>
                    </w:trPr>
                    <w:tc>
                      <w:tcPr>
                        <w:tcW w:w="9000" w:type="dxa"/>
                        <w:tcMar>
                          <w:top w:w="150" w:type="dxa"/>
                          <w:left w:w="0" w:type="dxa"/>
                          <w:bottom w:w="0" w:type="dxa"/>
                          <w:right w:w="0" w:type="dxa"/>
                        </w:tcMar>
                        <w:vAlign w:val="center"/>
                        <w:hideMark/>
                      </w:tcPr>
                      <w:p w14:paraId="53C950A3" w14:textId="6AEA571D" w:rsidR="00932758" w:rsidRDefault="00932758" w:rsidP="00932758">
                        <w:pPr>
                          <w:rPr>
                            <w:rFonts w:ascii="Arial" w:eastAsia="Times New Roman" w:hAnsi="Arial" w:cs="Arial"/>
                            <w:color w:val="FFFFFF"/>
                            <w:sz w:val="17"/>
                            <w:szCs w:val="17"/>
                          </w:rPr>
                        </w:pPr>
                      </w:p>
                    </w:tc>
                  </w:tr>
                </w:tbl>
                <w:p w14:paraId="1AC1D48F" w14:textId="77777777" w:rsidR="00932758" w:rsidRDefault="00932758">
                  <w:pPr>
                    <w:jc w:val="center"/>
                    <w:rPr>
                      <w:rFonts w:ascii="Times New Roman" w:eastAsia="Times New Roman" w:hAnsi="Times New Roman" w:cs="Times New Roman"/>
                      <w:sz w:val="20"/>
                      <w:szCs w:val="20"/>
                    </w:rPr>
                  </w:pPr>
                </w:p>
              </w:tc>
            </w:tr>
          </w:tbl>
          <w:p w14:paraId="532769B6" w14:textId="77777777" w:rsidR="00932758" w:rsidRDefault="00932758">
            <w:pPr>
              <w:jc w:val="center"/>
              <w:rPr>
                <w:rFonts w:ascii="Times New Roman" w:eastAsia="Times New Roman" w:hAnsi="Times New Roman" w:cs="Times New Roman"/>
                <w:sz w:val="20"/>
                <w:szCs w:val="20"/>
              </w:rPr>
            </w:pPr>
          </w:p>
        </w:tc>
      </w:tr>
    </w:tbl>
    <w:p w14:paraId="28A6E7BA" w14:textId="21C54D11" w:rsidR="00932758" w:rsidRDefault="00932758" w:rsidP="00932758">
      <w:pPr>
        <w:rPr>
          <w:rFonts w:eastAsia="Times New Roman"/>
        </w:rPr>
      </w:pPr>
      <w:r>
        <w:rPr>
          <w:rFonts w:eastAsia="Times New Roman"/>
          <w:noProof/>
        </w:rPr>
        <w:drawing>
          <wp:inline distT="0" distB="0" distL="0" distR="0" wp14:anchorId="0D78C9E0" wp14:editId="685F0EB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661D1B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58"/>
    <w:rsid w:val="0093275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1B01"/>
  <w15:chartTrackingRefBased/>
  <w15:docId w15:val="{0B40348C-7600-4FEE-9407-B1222622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58"/>
    <w:rPr>
      <w:rFonts w:ascii="Calibri" w:hAnsi="Calibri" w:cs="Calibri"/>
      <w:lang w:eastAsia="en-GB"/>
    </w:rPr>
  </w:style>
  <w:style w:type="paragraph" w:styleId="Heading1">
    <w:name w:val="heading 1"/>
    <w:basedOn w:val="Normal"/>
    <w:link w:val="Heading1Char"/>
    <w:uiPriority w:val="9"/>
    <w:qFormat/>
    <w:rsid w:val="0093275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32758"/>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3275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75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32758"/>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32758"/>
    <w:rPr>
      <w:rFonts w:ascii="Tahoma" w:hAnsi="Tahoma" w:cs="Tahoma"/>
      <w:b/>
      <w:bCs/>
      <w:color w:val="FFFFFF"/>
      <w:sz w:val="18"/>
      <w:szCs w:val="18"/>
      <w:lang w:eastAsia="en-GB"/>
    </w:rPr>
  </w:style>
  <w:style w:type="paragraph" w:styleId="NormalWeb">
    <w:name w:val="Normal (Web)"/>
    <w:basedOn w:val="Normal"/>
    <w:uiPriority w:val="99"/>
    <w:semiHidden/>
    <w:unhideWhenUsed/>
    <w:rsid w:val="00932758"/>
    <w:pPr>
      <w:spacing w:before="100" w:beforeAutospacing="1" w:after="100" w:afterAutospacing="1"/>
    </w:pPr>
  </w:style>
  <w:style w:type="character" w:styleId="Strong">
    <w:name w:val="Strong"/>
    <w:basedOn w:val="DefaultParagraphFont"/>
    <w:uiPriority w:val="22"/>
    <w:qFormat/>
    <w:rsid w:val="00932758"/>
    <w:rPr>
      <w:b/>
      <w:bCs/>
    </w:rPr>
  </w:style>
  <w:style w:type="character" w:styleId="Hyperlink">
    <w:name w:val="Hyperlink"/>
    <w:basedOn w:val="DefaultParagraphFont"/>
    <w:uiPriority w:val="99"/>
    <w:semiHidden/>
    <w:unhideWhenUsed/>
    <w:rsid w:val="00932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92f1ca6ed&amp;e=d19e9fd41c" TargetMode="External"/><Relationship Id="rId13" Type="http://schemas.openxmlformats.org/officeDocument/2006/relationships/hyperlink" Target="https://psnc.us7.list-manage.com/track/click?u=86d41ab7fa4c7c2c5d7210782&amp;id=1257497489&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368a05b32&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8049888d6f&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e6d1c0a5f9&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8ebbfaf607&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fd333a0cb3&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db5018fb30&amp;e=d19e9fd41c" TargetMode="External"/><Relationship Id="rId19" Type="http://schemas.openxmlformats.org/officeDocument/2006/relationships/hyperlink" Target="https://psnc.us7.list-manage.com/track/click?u=86d41ab7fa4c7c2c5d7210782&amp;id=c2b751c191&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68af1c15d7&amp;e=d19e9fd41c" TargetMode="External"/><Relationship Id="rId14" Type="http://schemas.openxmlformats.org/officeDocument/2006/relationships/hyperlink" Target="https://psnc.us7.list-manage.com/track/click?u=86d41ab7fa4c7c2c5d7210782&amp;id=5ecc05c12c&amp;e=d19e9fd41c" TargetMode="External"/><Relationship Id="rId22" Type="http://schemas.openxmlformats.org/officeDocument/2006/relationships/hyperlink" Target="https://psnc.us7.list-manage.com/track/click?u=86d41ab7fa4c7c2c5d7210782&amp;id=0600fdc82c&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2610c3992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2022-09-27T07:36:00Z</dcterms:created>
  <dcterms:modified xsi:type="dcterms:W3CDTF">2022-09-27T07:38:00Z</dcterms:modified>
</cp:coreProperties>
</file>