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873F2" w14:paraId="3B352670" w14:textId="77777777" w:rsidTr="000873F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873F2" w14:paraId="09E8F9D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873F2" w14:paraId="69E1AE32" w14:textId="77777777">
                    <w:trPr>
                      <w:tblCellSpacing w:w="0" w:type="dxa"/>
                      <w:jc w:val="center"/>
                    </w:trPr>
                    <w:tc>
                      <w:tcPr>
                        <w:tcW w:w="3000" w:type="dxa"/>
                        <w:hideMark/>
                      </w:tcPr>
                      <w:p w14:paraId="72134F9A" w14:textId="0D6633FE" w:rsidR="000873F2" w:rsidRDefault="000873F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1E499B2" w14:textId="77777777" w:rsidR="000873F2" w:rsidRDefault="000873F2">
                  <w:pPr>
                    <w:jc w:val="center"/>
                    <w:rPr>
                      <w:rFonts w:ascii="Times New Roman" w:eastAsia="Times New Roman" w:hAnsi="Times New Roman" w:cs="Times New Roman"/>
                      <w:sz w:val="20"/>
                      <w:szCs w:val="20"/>
                    </w:rPr>
                  </w:pPr>
                </w:p>
              </w:tc>
            </w:tr>
            <w:tr w:rsidR="000873F2" w14:paraId="4E94708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873F2" w14:paraId="13B1E21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7E8A940" w14:textId="3B4E5360" w:rsidR="000873F2" w:rsidRDefault="000873F2">
                        <w:pPr>
                          <w:jc w:val="center"/>
                          <w:rPr>
                            <w:rFonts w:eastAsia="Times New Roman"/>
                          </w:rPr>
                        </w:pPr>
                        <w:r>
                          <w:rPr>
                            <w:rFonts w:eastAsia="Times New Roman"/>
                            <w:noProof/>
                          </w:rPr>
                          <w:drawing>
                            <wp:inline distT="0" distB="0" distL="0" distR="0" wp14:anchorId="4C895CF0" wp14:editId="27C4932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873F2" w14:paraId="408F827E" w14:textId="77777777">
                    <w:trPr>
                      <w:tblCellSpacing w:w="0" w:type="dxa"/>
                    </w:trPr>
                    <w:tc>
                      <w:tcPr>
                        <w:tcW w:w="0" w:type="auto"/>
                        <w:vMerge/>
                        <w:tcBorders>
                          <w:top w:val="nil"/>
                          <w:left w:val="nil"/>
                          <w:bottom w:val="single" w:sz="2" w:space="0" w:color="FFFFFF"/>
                          <w:right w:val="nil"/>
                        </w:tcBorders>
                        <w:vAlign w:val="center"/>
                        <w:hideMark/>
                      </w:tcPr>
                      <w:p w14:paraId="2A3AED56" w14:textId="77777777" w:rsidR="000873F2" w:rsidRDefault="000873F2">
                        <w:pPr>
                          <w:rPr>
                            <w:rFonts w:eastAsia="Times New Roman"/>
                          </w:rPr>
                        </w:pPr>
                      </w:p>
                    </w:tc>
                    <w:tc>
                      <w:tcPr>
                        <w:tcW w:w="3450" w:type="dxa"/>
                        <w:tcBorders>
                          <w:top w:val="nil"/>
                          <w:left w:val="nil"/>
                          <w:bottom w:val="nil"/>
                          <w:right w:val="nil"/>
                        </w:tcBorders>
                        <w:vAlign w:val="center"/>
                        <w:hideMark/>
                      </w:tcPr>
                      <w:p w14:paraId="31AFCE71" w14:textId="77777777" w:rsidR="000873F2" w:rsidRDefault="000873F2">
                        <w:pPr>
                          <w:pStyle w:val="Heading1"/>
                          <w:rPr>
                            <w:rFonts w:eastAsia="Times New Roman"/>
                          </w:rPr>
                        </w:pPr>
                        <w:r>
                          <w:rPr>
                            <w:rFonts w:eastAsia="Times New Roman"/>
                          </w:rPr>
                          <w:t>PSNC Newsletter</w:t>
                        </w:r>
                      </w:p>
                    </w:tc>
                  </w:tr>
                  <w:tr w:rsidR="000873F2" w14:paraId="110EB935" w14:textId="77777777">
                    <w:trPr>
                      <w:tblCellSpacing w:w="0" w:type="dxa"/>
                    </w:trPr>
                    <w:tc>
                      <w:tcPr>
                        <w:tcW w:w="0" w:type="auto"/>
                        <w:vMerge/>
                        <w:tcBorders>
                          <w:top w:val="nil"/>
                          <w:left w:val="nil"/>
                          <w:bottom w:val="single" w:sz="2" w:space="0" w:color="FFFFFF"/>
                          <w:right w:val="nil"/>
                        </w:tcBorders>
                        <w:vAlign w:val="center"/>
                        <w:hideMark/>
                      </w:tcPr>
                      <w:p w14:paraId="5C8DF383" w14:textId="77777777" w:rsidR="000873F2" w:rsidRDefault="000873F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CC3DD54" w14:textId="77777777" w:rsidR="000873F2" w:rsidRDefault="000873F2">
                        <w:pPr>
                          <w:pStyle w:val="Heading2"/>
                          <w:rPr>
                            <w:rFonts w:eastAsia="Times New Roman"/>
                            <w:color w:val="93378A"/>
                          </w:rPr>
                        </w:pPr>
                        <w:r>
                          <w:rPr>
                            <w:rFonts w:eastAsia="Times New Roman"/>
                            <w:color w:val="93378A"/>
                          </w:rPr>
                          <w:t>Monday 12th September 2022</w:t>
                        </w:r>
                      </w:p>
                    </w:tc>
                  </w:tr>
                </w:tbl>
                <w:p w14:paraId="7CE3E9FC" w14:textId="77777777" w:rsidR="000873F2" w:rsidRDefault="000873F2">
                  <w:pPr>
                    <w:rPr>
                      <w:rFonts w:ascii="Times New Roman" w:eastAsia="Times New Roman" w:hAnsi="Times New Roman" w:cs="Times New Roman"/>
                      <w:sz w:val="20"/>
                      <w:szCs w:val="20"/>
                    </w:rPr>
                  </w:pPr>
                </w:p>
              </w:tc>
            </w:tr>
            <w:tr w:rsidR="000873F2" w14:paraId="4D8E701F" w14:textId="77777777">
              <w:tblPrEx>
                <w:shd w:val="clear" w:color="auto" w:fill="auto"/>
              </w:tblPrEx>
              <w:trPr>
                <w:tblCellSpacing w:w="0" w:type="dxa"/>
                <w:jc w:val="center"/>
              </w:trPr>
              <w:tc>
                <w:tcPr>
                  <w:tcW w:w="9000" w:type="dxa"/>
                  <w:hideMark/>
                </w:tcPr>
                <w:p w14:paraId="2FAE520C" w14:textId="476A0D12" w:rsidR="000873F2" w:rsidRDefault="000873F2">
                  <w:pPr>
                    <w:rPr>
                      <w:rFonts w:eastAsia="Times New Roman"/>
                    </w:rPr>
                  </w:pPr>
                  <w:r>
                    <w:rPr>
                      <w:rFonts w:eastAsia="Times New Roman"/>
                      <w:noProof/>
                    </w:rPr>
                    <w:drawing>
                      <wp:inline distT="0" distB="0" distL="0" distR="0" wp14:anchorId="4CBF32E9" wp14:editId="33E731B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873F2" w14:paraId="62E75B0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0873F2" w14:paraId="220195F8" w14:textId="77777777">
                    <w:trPr>
                      <w:trHeight w:val="150"/>
                      <w:tblCellSpacing w:w="15" w:type="dxa"/>
                      <w:jc w:val="center"/>
                    </w:trPr>
                    <w:tc>
                      <w:tcPr>
                        <w:tcW w:w="150" w:type="dxa"/>
                        <w:vAlign w:val="center"/>
                        <w:hideMark/>
                      </w:tcPr>
                      <w:p w14:paraId="6C704653" w14:textId="77777777" w:rsidR="000873F2" w:rsidRDefault="000873F2" w:rsidP="000873F2">
                        <w:pPr>
                          <w:spacing w:line="264" w:lineRule="auto"/>
                          <w:rPr>
                            <w:rFonts w:eastAsia="Times New Roman"/>
                          </w:rPr>
                        </w:pPr>
                      </w:p>
                    </w:tc>
                    <w:tc>
                      <w:tcPr>
                        <w:tcW w:w="8700" w:type="dxa"/>
                        <w:vAlign w:val="center"/>
                        <w:hideMark/>
                      </w:tcPr>
                      <w:p w14:paraId="2A46E207" w14:textId="77777777" w:rsidR="000873F2" w:rsidRDefault="000873F2" w:rsidP="000873F2">
                        <w:pPr>
                          <w:spacing w:line="264" w:lineRule="auto"/>
                          <w:rPr>
                            <w:rFonts w:ascii="Times New Roman" w:eastAsia="Times New Roman" w:hAnsi="Times New Roman" w:cs="Times New Roman"/>
                            <w:sz w:val="20"/>
                            <w:szCs w:val="20"/>
                          </w:rPr>
                        </w:pPr>
                      </w:p>
                    </w:tc>
                    <w:tc>
                      <w:tcPr>
                        <w:tcW w:w="150" w:type="dxa"/>
                        <w:vAlign w:val="center"/>
                        <w:hideMark/>
                      </w:tcPr>
                      <w:p w14:paraId="7C59F464" w14:textId="77777777" w:rsidR="000873F2" w:rsidRDefault="000873F2" w:rsidP="000873F2">
                        <w:pPr>
                          <w:spacing w:line="264" w:lineRule="auto"/>
                          <w:rPr>
                            <w:rFonts w:ascii="Times New Roman" w:eastAsia="Times New Roman" w:hAnsi="Times New Roman" w:cs="Times New Roman"/>
                            <w:sz w:val="20"/>
                            <w:szCs w:val="20"/>
                          </w:rPr>
                        </w:pPr>
                      </w:p>
                    </w:tc>
                  </w:tr>
                  <w:tr w:rsidR="000873F2" w14:paraId="1604BBE7" w14:textId="77777777">
                    <w:trPr>
                      <w:tblCellSpacing w:w="15" w:type="dxa"/>
                      <w:jc w:val="center"/>
                    </w:trPr>
                    <w:tc>
                      <w:tcPr>
                        <w:tcW w:w="150" w:type="dxa"/>
                        <w:vAlign w:val="center"/>
                        <w:hideMark/>
                      </w:tcPr>
                      <w:p w14:paraId="31E30577" w14:textId="77777777" w:rsidR="000873F2" w:rsidRDefault="000873F2" w:rsidP="000873F2">
                        <w:pPr>
                          <w:spacing w:line="264" w:lineRule="auto"/>
                          <w:rPr>
                            <w:rFonts w:ascii="Times New Roman" w:eastAsia="Times New Roman" w:hAnsi="Times New Roman" w:cs="Times New Roman"/>
                            <w:sz w:val="20"/>
                            <w:szCs w:val="20"/>
                          </w:rPr>
                        </w:pPr>
                      </w:p>
                    </w:tc>
                    <w:tc>
                      <w:tcPr>
                        <w:tcW w:w="8700" w:type="dxa"/>
                        <w:vAlign w:val="center"/>
                        <w:hideMark/>
                      </w:tcPr>
                      <w:p w14:paraId="6D556CCF" w14:textId="77777777" w:rsidR="000873F2" w:rsidRDefault="000873F2" w:rsidP="000873F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13C4574" w14:textId="77777777" w:rsidR="000873F2" w:rsidRDefault="000873F2" w:rsidP="000873F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E10F8AC">
                            <v:rect id="_x0000_i1032" style="width:468pt;height:1.5pt" o:hrstd="t" o:hr="t" fillcolor="#a0a0a0" stroked="f"/>
                          </w:pict>
                        </w:r>
                      </w:p>
                      <w:p w14:paraId="0041172F" w14:textId="77777777" w:rsidR="000873F2" w:rsidRDefault="000873F2" w:rsidP="000873F2">
                        <w:pPr>
                          <w:pStyle w:val="Heading2"/>
                          <w:spacing w:after="0"/>
                          <w:rPr>
                            <w:rFonts w:eastAsia="Times New Roman"/>
                          </w:rPr>
                        </w:pPr>
                        <w:r>
                          <w:rPr>
                            <w:rFonts w:eastAsia="Times New Roman"/>
                          </w:rPr>
                          <w:t>In this update: Bank Holiday for Queen's funeral; discount deduction impact calculator; price concessions webinar recording; C-19 vac care home support; updated flu vac PGD.</w:t>
                        </w:r>
                      </w:p>
                      <w:p w14:paraId="5C2327B6" w14:textId="77777777" w:rsidR="000873F2" w:rsidRDefault="000873F2" w:rsidP="000873F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C20CB21">
                            <v:rect id="_x0000_i1033" style="width:468pt;height:1.5pt" o:hrstd="t" o:hr="t" fillcolor="#a0a0a0" stroked="f"/>
                          </w:pict>
                        </w:r>
                      </w:p>
                      <w:p w14:paraId="4BB75AF3" w14:textId="77777777" w:rsidR="000873F2" w:rsidRDefault="000873F2" w:rsidP="000873F2">
                        <w:pPr>
                          <w:pStyle w:val="Heading3"/>
                          <w:spacing w:after="0"/>
                          <w:rPr>
                            <w:rFonts w:eastAsia="Times New Roman"/>
                          </w:rPr>
                        </w:pPr>
                        <w:r>
                          <w:rPr>
                            <w:rFonts w:eastAsia="Times New Roman"/>
                          </w:rPr>
                          <w:t>Death of HM the Queen: Bank Holiday announcement</w:t>
                        </w:r>
                      </w:p>
                      <w:p w14:paraId="54290AF2" w14:textId="77777777" w:rsidR="000873F2" w:rsidRDefault="000873F2" w:rsidP="000873F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the sad death of Her Majesty Queen Elizabeth II, her state funeral is on Monday 19th September. To help the nation pay its respects, the day has been declared a Bank Holiday.</w:t>
                        </w:r>
                        <w:r>
                          <w:rPr>
                            <w:rFonts w:ascii="Tahoma" w:hAnsi="Tahoma" w:cs="Tahoma"/>
                            <w:color w:val="303030"/>
                            <w:sz w:val="21"/>
                            <w:szCs w:val="21"/>
                          </w:rPr>
                          <w:br/>
                        </w:r>
                        <w:r>
                          <w:rPr>
                            <w:rFonts w:ascii="Tahoma" w:hAnsi="Tahoma" w:cs="Tahoma"/>
                            <w:color w:val="303030"/>
                            <w:sz w:val="21"/>
                            <w:szCs w:val="21"/>
                          </w:rPr>
                          <w:br/>
                          <w:t>NHS England has discussed with PSNC how this will impact community pharmacy and is in the process of sending a letter to all contractors, setting out the above and requesting that they work with their local NHS England team to help plan arrangements for pharmaceutical provision in the area on the 19th of September.</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 including considerations for contractors</w:t>
                          </w:r>
                        </w:hyperlink>
                      </w:p>
                      <w:p w14:paraId="4595CA9E" w14:textId="77777777" w:rsidR="000873F2" w:rsidRDefault="000873F2" w:rsidP="000873F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1D995E">
                            <v:rect id="_x0000_i1034" style="width:468pt;height:1.5pt" o:hrstd="t" o:hr="t" fillcolor="#a0a0a0" stroked="f"/>
                          </w:pict>
                        </w:r>
                      </w:p>
                      <w:p w14:paraId="1E8AEE09" w14:textId="77777777" w:rsidR="000873F2" w:rsidRDefault="000873F2" w:rsidP="000873F2">
                        <w:pPr>
                          <w:pStyle w:val="Heading3"/>
                          <w:spacing w:after="0"/>
                          <w:rPr>
                            <w:rFonts w:eastAsia="Times New Roman"/>
                          </w:rPr>
                        </w:pPr>
                        <w:r>
                          <w:rPr>
                            <w:rFonts w:eastAsia="Times New Roman"/>
                          </w:rPr>
                          <w:t>Discount Deduction: PSNC launches impact calculator tool</w:t>
                        </w:r>
                      </w:p>
                      <w:p w14:paraId="52DA928E" w14:textId="77777777" w:rsidR="000873F2" w:rsidRDefault="000873F2" w:rsidP="000873F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the announcement of a new discount deduction system, PSNC has developed a webtool to help community pharmacy contractors estimate the impact on their payments.</w:t>
                        </w:r>
                        <w:r>
                          <w:rPr>
                            <w:rFonts w:ascii="Tahoma" w:hAnsi="Tahoma" w:cs="Tahoma"/>
                            <w:color w:val="303030"/>
                            <w:sz w:val="21"/>
                            <w:szCs w:val="21"/>
                          </w:rPr>
                          <w:br/>
                        </w:r>
                        <w:r>
                          <w:rPr>
                            <w:rFonts w:ascii="Tahoma" w:hAnsi="Tahoma" w:cs="Tahoma"/>
                            <w:color w:val="303030"/>
                            <w:sz w:val="21"/>
                            <w:szCs w:val="21"/>
                          </w:rPr>
                          <w:br/>
                          <w:t>The calculator aims to illustrate the changes to discount deduction that a pharmacy could experience during the transition to the new arrangements from October 2022 to January 2024, when the new system will be fully in place. PSNC's calculator requires contractors to input information about their individual pharmacy dispensing mix (</w:t>
                        </w:r>
                        <w:proofErr w:type="gramStart"/>
                        <w:r>
                          <w:rPr>
                            <w:rFonts w:ascii="Tahoma" w:hAnsi="Tahoma" w:cs="Tahoma"/>
                            <w:color w:val="303030"/>
                            <w:sz w:val="21"/>
                            <w:szCs w:val="21"/>
                          </w:rPr>
                          <w:t>i.e.</w:t>
                        </w:r>
                        <w:proofErr w:type="gramEnd"/>
                        <w:r>
                          <w:rPr>
                            <w:rFonts w:ascii="Tahoma" w:hAnsi="Tahoma" w:cs="Tahoma"/>
                            <w:color w:val="303030"/>
                            <w:sz w:val="21"/>
                            <w:szCs w:val="21"/>
                          </w:rPr>
                          <w:t xml:space="preserve"> split of reimbursement by appliances, brands and generics) to provide an estimate for the level of impact the new discount deduction system will have. The impact on individual pharmacies cannot be estimated without using dispensing mix data, meaning that any estimates which do not take this into account will not be reliable.</w:t>
                        </w:r>
                        <w:r>
                          <w:rPr>
                            <w:rFonts w:ascii="Tahoma" w:hAnsi="Tahoma" w:cs="Tahoma"/>
                            <w:color w:val="303030"/>
                            <w:sz w:val="21"/>
                            <w:szCs w:val="21"/>
                          </w:rPr>
                          <w:br/>
                        </w:r>
                        <w:r>
                          <w:rPr>
                            <w:rFonts w:ascii="Tahoma" w:hAnsi="Tahoma" w:cs="Tahoma"/>
                            <w:color w:val="303030"/>
                            <w:sz w:val="21"/>
                            <w:szCs w:val="21"/>
                          </w:rPr>
                          <w:br/>
                          <w:t>PSNC's update also provides further background information and context to the discount deduction changes.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and download PSNC's new Discount Deduction Transition Calculator</w:t>
                          </w:r>
                        </w:hyperlink>
                      </w:p>
                      <w:p w14:paraId="26352FC6" w14:textId="77777777" w:rsidR="000873F2" w:rsidRDefault="000873F2" w:rsidP="000873F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7915F9A">
                            <v:rect id="_x0000_i1035" style="width:468pt;height:1.5pt" o:hrstd="t" o:hr="t" fillcolor="#a0a0a0" stroked="f"/>
                          </w:pict>
                        </w:r>
                      </w:p>
                      <w:p w14:paraId="61767EC4" w14:textId="77777777" w:rsidR="000873F2" w:rsidRDefault="000873F2" w:rsidP="000873F2">
                        <w:pPr>
                          <w:pStyle w:val="Heading3"/>
                          <w:spacing w:after="0"/>
                          <w:rPr>
                            <w:rFonts w:eastAsia="Times New Roman"/>
                          </w:rPr>
                        </w:pPr>
                        <w:r>
                          <w:rPr>
                            <w:rFonts w:eastAsia="Times New Roman"/>
                          </w:rPr>
                          <w:lastRenderedPageBreak/>
                          <w:t>Price Concessions Webinar now available on-demand</w:t>
                        </w:r>
                      </w:p>
                      <w:p w14:paraId="19EA1C1E" w14:textId="77777777" w:rsidR="000873F2" w:rsidRDefault="000873F2" w:rsidP="000873F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Around 750 people registered for last week's webinar which aimed to provide community pharmacy contractors with a better understanding of how the price concession system operates and PSNC’s work in this area. Nine in ten said they would recommend the webinar to others, with 87% saying that they found it useful.</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Watch the webinar</w:t>
                          </w:r>
                        </w:hyperlink>
                      </w:p>
                      <w:p w14:paraId="4545687D" w14:textId="77777777" w:rsidR="000873F2" w:rsidRDefault="000873F2" w:rsidP="000873F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F0D501D">
                            <v:rect id="_x0000_i1036" style="width:468pt;height:1.5pt" o:hrstd="t" o:hr="t" fillcolor="#a0a0a0" stroked="f"/>
                          </w:pict>
                        </w:r>
                      </w:p>
                      <w:p w14:paraId="12C66917" w14:textId="77777777" w:rsidR="000873F2" w:rsidRDefault="000873F2" w:rsidP="000873F2">
                        <w:pPr>
                          <w:pStyle w:val="Heading3"/>
                          <w:spacing w:after="0"/>
                          <w:rPr>
                            <w:rFonts w:eastAsia="Times New Roman"/>
                          </w:rPr>
                        </w:pPr>
                        <w:r>
                          <w:rPr>
                            <w:rFonts w:eastAsia="Times New Roman"/>
                          </w:rPr>
                          <w:t>C-19 Vac: Care Home vaccination incentive</w:t>
                        </w:r>
                      </w:p>
                      <w:p w14:paraId="60BA5D7D" w14:textId="77777777" w:rsidR="000873F2" w:rsidRDefault="000873F2" w:rsidP="000873F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England has announced a financial incentive to prioritise the COVID-19 vaccination of care home residents in both older adult care homes and non-older adult care homes. The incentive is open to all commissioned providers including commissioned community pharmacy contractors.</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more</w:t>
                          </w:r>
                        </w:hyperlink>
                      </w:p>
                      <w:p w14:paraId="68A15ED9" w14:textId="77777777" w:rsidR="000873F2" w:rsidRDefault="000873F2" w:rsidP="000873F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CC75913">
                            <v:rect id="_x0000_i1037" style="width:468pt;height:1.5pt" o:hrstd="t" o:hr="t" fillcolor="#a0a0a0" stroked="f"/>
                          </w:pict>
                        </w:r>
                      </w:p>
                      <w:p w14:paraId="11C08DE4" w14:textId="77777777" w:rsidR="000873F2" w:rsidRDefault="000873F2" w:rsidP="000873F2">
                        <w:pPr>
                          <w:pStyle w:val="Heading3"/>
                          <w:spacing w:after="0"/>
                          <w:rPr>
                            <w:rFonts w:eastAsia="Times New Roman"/>
                          </w:rPr>
                        </w:pPr>
                        <w:r>
                          <w:rPr>
                            <w:rFonts w:eastAsia="Times New Roman"/>
                          </w:rPr>
                          <w:t>Flu vac: Updated PGD published</w:t>
                        </w:r>
                      </w:p>
                      <w:p w14:paraId="23101C40" w14:textId="77777777" w:rsidR="000873F2" w:rsidRDefault="000873F2" w:rsidP="000873F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England have approved an updated patient group direction (PGD) for use by community pharmacy contractors during the current flu vaccination season. The updated PGD (version 11) is now available to download from their website.</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Download the NHS Flu Vaccination PGD</w:t>
                          </w:r>
                        </w:hyperlink>
                      </w:p>
                    </w:tc>
                    <w:tc>
                      <w:tcPr>
                        <w:tcW w:w="150" w:type="dxa"/>
                        <w:vAlign w:val="center"/>
                        <w:hideMark/>
                      </w:tcPr>
                      <w:p w14:paraId="3C189479" w14:textId="77777777" w:rsidR="000873F2" w:rsidRDefault="000873F2" w:rsidP="000873F2">
                        <w:pPr>
                          <w:spacing w:line="264" w:lineRule="auto"/>
                          <w:rPr>
                            <w:rFonts w:ascii="Tahoma" w:hAnsi="Tahoma" w:cs="Tahoma"/>
                            <w:color w:val="303030"/>
                            <w:sz w:val="21"/>
                            <w:szCs w:val="21"/>
                          </w:rPr>
                        </w:pPr>
                      </w:p>
                    </w:tc>
                  </w:tr>
                  <w:tr w:rsidR="000873F2" w14:paraId="2A34390F" w14:textId="77777777">
                    <w:trPr>
                      <w:trHeight w:val="150"/>
                      <w:tblCellSpacing w:w="15" w:type="dxa"/>
                      <w:jc w:val="center"/>
                    </w:trPr>
                    <w:tc>
                      <w:tcPr>
                        <w:tcW w:w="150" w:type="dxa"/>
                        <w:vAlign w:val="center"/>
                        <w:hideMark/>
                      </w:tcPr>
                      <w:p w14:paraId="4EA94D81" w14:textId="77777777" w:rsidR="000873F2" w:rsidRDefault="000873F2" w:rsidP="000873F2">
                        <w:pPr>
                          <w:spacing w:line="264" w:lineRule="auto"/>
                          <w:rPr>
                            <w:rFonts w:ascii="Times New Roman" w:eastAsia="Times New Roman" w:hAnsi="Times New Roman" w:cs="Times New Roman"/>
                            <w:sz w:val="20"/>
                            <w:szCs w:val="20"/>
                          </w:rPr>
                        </w:pPr>
                      </w:p>
                    </w:tc>
                    <w:tc>
                      <w:tcPr>
                        <w:tcW w:w="8700" w:type="dxa"/>
                        <w:vAlign w:val="center"/>
                        <w:hideMark/>
                      </w:tcPr>
                      <w:p w14:paraId="500F3DBB" w14:textId="77777777" w:rsidR="000873F2" w:rsidRDefault="000873F2" w:rsidP="000873F2">
                        <w:pPr>
                          <w:spacing w:line="264" w:lineRule="auto"/>
                          <w:rPr>
                            <w:rFonts w:ascii="Times New Roman" w:eastAsia="Times New Roman" w:hAnsi="Times New Roman" w:cs="Times New Roman"/>
                            <w:sz w:val="20"/>
                            <w:szCs w:val="20"/>
                          </w:rPr>
                        </w:pPr>
                      </w:p>
                    </w:tc>
                    <w:tc>
                      <w:tcPr>
                        <w:tcW w:w="150" w:type="dxa"/>
                        <w:vAlign w:val="center"/>
                        <w:hideMark/>
                      </w:tcPr>
                      <w:p w14:paraId="73C0100A" w14:textId="77777777" w:rsidR="000873F2" w:rsidRDefault="000873F2" w:rsidP="000873F2">
                        <w:pPr>
                          <w:spacing w:line="264" w:lineRule="auto"/>
                          <w:rPr>
                            <w:rFonts w:ascii="Times New Roman" w:eastAsia="Times New Roman" w:hAnsi="Times New Roman" w:cs="Times New Roman"/>
                            <w:sz w:val="20"/>
                            <w:szCs w:val="20"/>
                          </w:rPr>
                        </w:pPr>
                      </w:p>
                    </w:tc>
                  </w:tr>
                </w:tbl>
                <w:p w14:paraId="307DBDCE" w14:textId="77777777" w:rsidR="000873F2" w:rsidRDefault="000873F2" w:rsidP="000873F2">
                  <w:pPr>
                    <w:spacing w:line="264" w:lineRule="auto"/>
                    <w:rPr>
                      <w:rFonts w:ascii="Times New Roman" w:eastAsia="Times New Roman" w:hAnsi="Times New Roman" w:cs="Times New Roman"/>
                      <w:sz w:val="20"/>
                      <w:szCs w:val="20"/>
                    </w:rPr>
                  </w:pPr>
                </w:p>
              </w:tc>
            </w:tr>
          </w:tbl>
          <w:p w14:paraId="609B2707" w14:textId="77777777" w:rsidR="000873F2" w:rsidRDefault="000873F2">
            <w:pPr>
              <w:jc w:val="center"/>
              <w:rPr>
                <w:rFonts w:ascii="Times New Roman" w:eastAsia="Times New Roman" w:hAnsi="Times New Roman" w:cs="Times New Roman"/>
                <w:sz w:val="20"/>
                <w:szCs w:val="20"/>
              </w:rPr>
            </w:pPr>
          </w:p>
        </w:tc>
      </w:tr>
      <w:tr w:rsidR="000873F2" w14:paraId="3A6ABF9B" w14:textId="77777777" w:rsidTr="000873F2">
        <w:trPr>
          <w:trHeight w:val="1523"/>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873F2" w14:paraId="1ECE56A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873F2" w14:paraId="24726002" w14:textId="77777777">
                    <w:trPr>
                      <w:tblCellSpacing w:w="0" w:type="dxa"/>
                      <w:jc w:val="center"/>
                    </w:trPr>
                    <w:tc>
                      <w:tcPr>
                        <w:tcW w:w="3000" w:type="dxa"/>
                        <w:tcMar>
                          <w:top w:w="30" w:type="dxa"/>
                          <w:left w:w="75" w:type="dxa"/>
                          <w:bottom w:w="30" w:type="dxa"/>
                          <w:right w:w="75" w:type="dxa"/>
                        </w:tcMar>
                        <w:hideMark/>
                      </w:tcPr>
                      <w:p w14:paraId="011069F0" w14:textId="77777777" w:rsidR="000873F2" w:rsidRDefault="000873F2">
                        <w:pPr>
                          <w:pStyle w:val="Heading4"/>
                          <w:jc w:val="center"/>
                          <w:rPr>
                            <w:rFonts w:eastAsia="Times New Roman"/>
                          </w:rPr>
                        </w:pPr>
                        <w:r>
                          <w:rPr>
                            <w:rFonts w:eastAsia="Times New Roman"/>
                          </w:rPr>
                          <w:lastRenderedPageBreak/>
                          <w:t>Pharmaceutical Services Negotiating Committee</w:t>
                        </w:r>
                      </w:p>
                      <w:p w14:paraId="6DBCC818" w14:textId="61EEBD95" w:rsidR="000873F2" w:rsidRDefault="000873F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6B12783" wp14:editId="47429F86">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5459EF0" wp14:editId="6DCFF1C3">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AEF2891" wp14:editId="587753C7">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3F4122C" wp14:editId="73EE9200">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E552B7D" w14:textId="77777777" w:rsidR="000873F2" w:rsidRDefault="000873F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873F2" w14:paraId="10774325" w14:textId="77777777">
                    <w:trPr>
                      <w:trHeight w:val="450"/>
                      <w:tblCellSpacing w:w="0" w:type="dxa"/>
                      <w:jc w:val="center"/>
                    </w:trPr>
                    <w:tc>
                      <w:tcPr>
                        <w:tcW w:w="9000" w:type="dxa"/>
                        <w:tcMar>
                          <w:top w:w="150" w:type="dxa"/>
                          <w:left w:w="0" w:type="dxa"/>
                          <w:bottom w:w="0" w:type="dxa"/>
                          <w:right w:w="0" w:type="dxa"/>
                        </w:tcMar>
                        <w:vAlign w:val="center"/>
                        <w:hideMark/>
                      </w:tcPr>
                      <w:p w14:paraId="52DA0178" w14:textId="5819AB17" w:rsidR="000873F2" w:rsidRDefault="000873F2" w:rsidP="000873F2">
                        <w:pPr>
                          <w:rPr>
                            <w:rFonts w:ascii="Arial" w:eastAsia="Times New Roman" w:hAnsi="Arial" w:cs="Arial"/>
                            <w:color w:val="FFFFFF"/>
                            <w:sz w:val="17"/>
                            <w:szCs w:val="17"/>
                          </w:rPr>
                        </w:pPr>
                      </w:p>
                    </w:tc>
                  </w:tr>
                </w:tbl>
                <w:p w14:paraId="4A57A128" w14:textId="77777777" w:rsidR="000873F2" w:rsidRDefault="000873F2">
                  <w:pPr>
                    <w:jc w:val="center"/>
                    <w:rPr>
                      <w:rFonts w:ascii="Times New Roman" w:eastAsia="Times New Roman" w:hAnsi="Times New Roman" w:cs="Times New Roman"/>
                      <w:sz w:val="20"/>
                      <w:szCs w:val="20"/>
                    </w:rPr>
                  </w:pPr>
                </w:p>
              </w:tc>
            </w:tr>
          </w:tbl>
          <w:p w14:paraId="6CDECCFC" w14:textId="77777777" w:rsidR="000873F2" w:rsidRDefault="000873F2">
            <w:pPr>
              <w:jc w:val="center"/>
              <w:rPr>
                <w:rFonts w:ascii="Times New Roman" w:eastAsia="Times New Roman" w:hAnsi="Times New Roman" w:cs="Times New Roman"/>
                <w:sz w:val="20"/>
                <w:szCs w:val="20"/>
              </w:rPr>
            </w:pPr>
          </w:p>
        </w:tc>
      </w:tr>
    </w:tbl>
    <w:p w14:paraId="2C45720E" w14:textId="321BCF70" w:rsidR="000873F2" w:rsidRDefault="000873F2" w:rsidP="000873F2">
      <w:pPr>
        <w:rPr>
          <w:rFonts w:eastAsia="Times New Roman"/>
        </w:rPr>
      </w:pPr>
      <w:r>
        <w:rPr>
          <w:rFonts w:eastAsia="Times New Roman"/>
          <w:noProof/>
        </w:rPr>
        <w:drawing>
          <wp:inline distT="0" distB="0" distL="0" distR="0" wp14:anchorId="256A1779" wp14:editId="7D04897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F59D9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F2"/>
    <w:rsid w:val="000873F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4C9F"/>
  <w15:chartTrackingRefBased/>
  <w15:docId w15:val="{5ABFA4A3-9794-4978-92BF-A52D165A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F2"/>
    <w:rPr>
      <w:rFonts w:ascii="Calibri" w:hAnsi="Calibri" w:cs="Calibri"/>
      <w:lang w:eastAsia="en-GB"/>
    </w:rPr>
  </w:style>
  <w:style w:type="paragraph" w:styleId="Heading1">
    <w:name w:val="heading 1"/>
    <w:basedOn w:val="Normal"/>
    <w:link w:val="Heading1Char"/>
    <w:uiPriority w:val="9"/>
    <w:qFormat/>
    <w:rsid w:val="000873F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873F2"/>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873F2"/>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873F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3F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873F2"/>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873F2"/>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873F2"/>
    <w:rPr>
      <w:rFonts w:ascii="Tahoma" w:hAnsi="Tahoma" w:cs="Tahoma"/>
      <w:b/>
      <w:bCs/>
      <w:color w:val="FFFFFF"/>
      <w:sz w:val="18"/>
      <w:szCs w:val="18"/>
      <w:lang w:eastAsia="en-GB"/>
    </w:rPr>
  </w:style>
  <w:style w:type="paragraph" w:styleId="NormalWeb">
    <w:name w:val="Normal (Web)"/>
    <w:basedOn w:val="Normal"/>
    <w:uiPriority w:val="99"/>
    <w:semiHidden/>
    <w:unhideWhenUsed/>
    <w:rsid w:val="000873F2"/>
    <w:pPr>
      <w:spacing w:before="100" w:beforeAutospacing="1" w:after="100" w:afterAutospacing="1"/>
    </w:pPr>
  </w:style>
  <w:style w:type="character" w:styleId="Strong">
    <w:name w:val="Strong"/>
    <w:basedOn w:val="DefaultParagraphFont"/>
    <w:uiPriority w:val="22"/>
    <w:qFormat/>
    <w:rsid w:val="000873F2"/>
    <w:rPr>
      <w:b/>
      <w:bCs/>
    </w:rPr>
  </w:style>
  <w:style w:type="character" w:styleId="Hyperlink">
    <w:name w:val="Hyperlink"/>
    <w:basedOn w:val="DefaultParagraphFont"/>
    <w:uiPriority w:val="99"/>
    <w:semiHidden/>
    <w:unhideWhenUsed/>
    <w:rsid w:val="00087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5d9db6fe1&amp;e=d19e9fd41c" TargetMode="External"/><Relationship Id="rId13" Type="http://schemas.openxmlformats.org/officeDocument/2006/relationships/hyperlink" Target="https://psnc.us7.list-manage.com/track/click?u=86d41ab7fa4c7c2c5d7210782&amp;id=c764b0646e&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4e244825e&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68a9b8f4b9&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e733ca2a4&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38afc9b9fc&amp;e=d19e9fd41c" TargetMode="External"/><Relationship Id="rId19" Type="http://schemas.openxmlformats.org/officeDocument/2006/relationships/hyperlink" Target="https://psnc.us7.list-manage.com/track/click?u=86d41ab7fa4c7c2c5d7210782&amp;id=21cf8680a4&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a1bb6eeac6&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242c55c168&amp;e=d19e9fd41c" TargetMode="External"/><Relationship Id="rId27" Type="http://schemas.openxmlformats.org/officeDocument/2006/relationships/image" Target="https://psnc.us7.list-manage.com/track/open.php?u=86d41ab7fa4c7c2c5d7210782&amp;id=57028c8d94&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2022-09-13T07:55:00Z</dcterms:created>
  <dcterms:modified xsi:type="dcterms:W3CDTF">2022-09-13T07:57:00Z</dcterms:modified>
</cp:coreProperties>
</file>