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4289B" w14:paraId="4587FB4E" w14:textId="77777777" w:rsidTr="0014289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289B" w14:paraId="7D8FD2F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4289B" w14:paraId="5E7EFE1E" w14:textId="77777777">
                    <w:trPr>
                      <w:tblCellSpacing w:w="0" w:type="dxa"/>
                      <w:jc w:val="center"/>
                    </w:trPr>
                    <w:tc>
                      <w:tcPr>
                        <w:tcW w:w="3000" w:type="dxa"/>
                        <w:hideMark/>
                      </w:tcPr>
                      <w:p w14:paraId="799B8660" w14:textId="4B1ED9F4" w:rsidR="0014289B" w:rsidRDefault="004E0784" w:rsidP="004E078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E7BECE" w14:textId="77777777" w:rsidR="0014289B" w:rsidRDefault="0014289B" w:rsidP="004E0784">
                  <w:pPr>
                    <w:spacing w:line="264" w:lineRule="auto"/>
                    <w:rPr>
                      <w:rFonts w:ascii="Times New Roman" w:eastAsia="Times New Roman" w:hAnsi="Times New Roman" w:cs="Times New Roman"/>
                      <w:sz w:val="20"/>
                      <w:szCs w:val="20"/>
                    </w:rPr>
                  </w:pPr>
                </w:p>
              </w:tc>
            </w:tr>
            <w:tr w:rsidR="0014289B" w14:paraId="49300AC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4289B" w14:paraId="5955E3C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C141426" w14:textId="7274F361" w:rsidR="0014289B" w:rsidRDefault="0014289B" w:rsidP="004E0784">
                        <w:pPr>
                          <w:spacing w:line="264" w:lineRule="auto"/>
                          <w:jc w:val="center"/>
                          <w:rPr>
                            <w:rFonts w:eastAsia="Times New Roman"/>
                          </w:rPr>
                        </w:pPr>
                        <w:r>
                          <w:rPr>
                            <w:rFonts w:eastAsia="Times New Roman"/>
                            <w:noProof/>
                          </w:rPr>
                          <w:drawing>
                            <wp:inline distT="0" distB="0" distL="0" distR="0" wp14:anchorId="19B50FD7" wp14:editId="602B269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4289B" w14:paraId="7742785D" w14:textId="77777777">
                    <w:trPr>
                      <w:tblCellSpacing w:w="0" w:type="dxa"/>
                    </w:trPr>
                    <w:tc>
                      <w:tcPr>
                        <w:tcW w:w="0" w:type="auto"/>
                        <w:vMerge/>
                        <w:tcBorders>
                          <w:top w:val="nil"/>
                          <w:left w:val="nil"/>
                          <w:bottom w:val="single" w:sz="2" w:space="0" w:color="FFFFFF"/>
                          <w:right w:val="nil"/>
                        </w:tcBorders>
                        <w:vAlign w:val="center"/>
                        <w:hideMark/>
                      </w:tcPr>
                      <w:p w14:paraId="4F10FBD3" w14:textId="77777777" w:rsidR="0014289B" w:rsidRDefault="0014289B" w:rsidP="004E0784">
                        <w:pPr>
                          <w:spacing w:line="264" w:lineRule="auto"/>
                          <w:rPr>
                            <w:rFonts w:eastAsia="Times New Roman"/>
                          </w:rPr>
                        </w:pPr>
                      </w:p>
                    </w:tc>
                    <w:tc>
                      <w:tcPr>
                        <w:tcW w:w="3450" w:type="dxa"/>
                        <w:tcBorders>
                          <w:top w:val="nil"/>
                          <w:left w:val="nil"/>
                          <w:bottom w:val="nil"/>
                          <w:right w:val="nil"/>
                        </w:tcBorders>
                        <w:vAlign w:val="center"/>
                        <w:hideMark/>
                      </w:tcPr>
                      <w:p w14:paraId="5999AB03" w14:textId="77777777" w:rsidR="0014289B" w:rsidRDefault="0014289B" w:rsidP="004E0784">
                        <w:pPr>
                          <w:pStyle w:val="Heading1"/>
                          <w:spacing w:after="0"/>
                          <w:rPr>
                            <w:rFonts w:eastAsia="Times New Roman"/>
                          </w:rPr>
                        </w:pPr>
                        <w:r>
                          <w:rPr>
                            <w:rFonts w:eastAsia="Times New Roman"/>
                          </w:rPr>
                          <w:t>PSNC Newsletter</w:t>
                        </w:r>
                      </w:p>
                    </w:tc>
                  </w:tr>
                  <w:tr w:rsidR="0014289B" w14:paraId="4F7148E8" w14:textId="77777777">
                    <w:trPr>
                      <w:tblCellSpacing w:w="0" w:type="dxa"/>
                    </w:trPr>
                    <w:tc>
                      <w:tcPr>
                        <w:tcW w:w="0" w:type="auto"/>
                        <w:vMerge/>
                        <w:tcBorders>
                          <w:top w:val="nil"/>
                          <w:left w:val="nil"/>
                          <w:bottom w:val="single" w:sz="2" w:space="0" w:color="FFFFFF"/>
                          <w:right w:val="nil"/>
                        </w:tcBorders>
                        <w:vAlign w:val="center"/>
                        <w:hideMark/>
                      </w:tcPr>
                      <w:p w14:paraId="4C1085AA" w14:textId="77777777" w:rsidR="0014289B" w:rsidRDefault="0014289B" w:rsidP="004E0784">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0E4AA98" w14:textId="77777777" w:rsidR="0014289B" w:rsidRDefault="0014289B" w:rsidP="004E0784">
                        <w:pPr>
                          <w:pStyle w:val="Heading2"/>
                          <w:spacing w:after="0"/>
                          <w:rPr>
                            <w:rFonts w:eastAsia="Times New Roman"/>
                            <w:color w:val="93378A"/>
                          </w:rPr>
                        </w:pPr>
                        <w:r>
                          <w:rPr>
                            <w:rFonts w:eastAsia="Times New Roman"/>
                            <w:color w:val="93378A"/>
                          </w:rPr>
                          <w:t>Wednesday 10th August 2022</w:t>
                        </w:r>
                      </w:p>
                    </w:tc>
                  </w:tr>
                </w:tbl>
                <w:p w14:paraId="4806D541" w14:textId="77777777" w:rsidR="0014289B" w:rsidRDefault="0014289B" w:rsidP="004E0784">
                  <w:pPr>
                    <w:spacing w:line="264" w:lineRule="auto"/>
                    <w:rPr>
                      <w:rFonts w:ascii="Times New Roman" w:eastAsia="Times New Roman" w:hAnsi="Times New Roman" w:cs="Times New Roman"/>
                      <w:sz w:val="20"/>
                      <w:szCs w:val="20"/>
                    </w:rPr>
                  </w:pPr>
                </w:p>
              </w:tc>
            </w:tr>
            <w:tr w:rsidR="0014289B" w14:paraId="62DB9B2A" w14:textId="77777777">
              <w:tblPrEx>
                <w:shd w:val="clear" w:color="auto" w:fill="auto"/>
              </w:tblPrEx>
              <w:trPr>
                <w:tblCellSpacing w:w="0" w:type="dxa"/>
                <w:jc w:val="center"/>
              </w:trPr>
              <w:tc>
                <w:tcPr>
                  <w:tcW w:w="9000" w:type="dxa"/>
                  <w:hideMark/>
                </w:tcPr>
                <w:p w14:paraId="531B8C20" w14:textId="0679EBB8" w:rsidR="0014289B" w:rsidRDefault="0014289B" w:rsidP="004E0784">
                  <w:pPr>
                    <w:spacing w:line="264" w:lineRule="auto"/>
                    <w:rPr>
                      <w:rFonts w:eastAsia="Times New Roman"/>
                    </w:rPr>
                  </w:pPr>
                  <w:r>
                    <w:rPr>
                      <w:rFonts w:eastAsia="Times New Roman"/>
                      <w:noProof/>
                    </w:rPr>
                    <w:drawing>
                      <wp:inline distT="0" distB="0" distL="0" distR="0" wp14:anchorId="522D7D87" wp14:editId="0CDFF30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4289B" w14:paraId="7D65642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4289B" w14:paraId="1A80716B" w14:textId="77777777">
                    <w:trPr>
                      <w:trHeight w:val="150"/>
                      <w:tblCellSpacing w:w="15" w:type="dxa"/>
                      <w:jc w:val="center"/>
                    </w:trPr>
                    <w:tc>
                      <w:tcPr>
                        <w:tcW w:w="150" w:type="dxa"/>
                        <w:vAlign w:val="center"/>
                        <w:hideMark/>
                      </w:tcPr>
                      <w:p w14:paraId="1DDC778C" w14:textId="77777777" w:rsidR="0014289B" w:rsidRDefault="0014289B" w:rsidP="004E0784">
                        <w:pPr>
                          <w:spacing w:line="264" w:lineRule="auto"/>
                          <w:rPr>
                            <w:rFonts w:eastAsia="Times New Roman"/>
                          </w:rPr>
                        </w:pPr>
                      </w:p>
                    </w:tc>
                    <w:tc>
                      <w:tcPr>
                        <w:tcW w:w="8700" w:type="dxa"/>
                        <w:vAlign w:val="center"/>
                        <w:hideMark/>
                      </w:tcPr>
                      <w:p w14:paraId="2DE2EECE" w14:textId="77777777" w:rsidR="0014289B" w:rsidRDefault="0014289B" w:rsidP="004E0784">
                        <w:pPr>
                          <w:spacing w:line="264" w:lineRule="auto"/>
                          <w:rPr>
                            <w:rFonts w:ascii="Times New Roman" w:eastAsia="Times New Roman" w:hAnsi="Times New Roman" w:cs="Times New Roman"/>
                            <w:sz w:val="20"/>
                            <w:szCs w:val="20"/>
                          </w:rPr>
                        </w:pPr>
                      </w:p>
                    </w:tc>
                    <w:tc>
                      <w:tcPr>
                        <w:tcW w:w="150" w:type="dxa"/>
                        <w:vAlign w:val="center"/>
                        <w:hideMark/>
                      </w:tcPr>
                      <w:p w14:paraId="75F03078" w14:textId="77777777" w:rsidR="0014289B" w:rsidRDefault="0014289B" w:rsidP="004E0784">
                        <w:pPr>
                          <w:spacing w:line="264" w:lineRule="auto"/>
                          <w:rPr>
                            <w:rFonts w:ascii="Times New Roman" w:eastAsia="Times New Roman" w:hAnsi="Times New Roman" w:cs="Times New Roman"/>
                            <w:sz w:val="20"/>
                            <w:szCs w:val="20"/>
                          </w:rPr>
                        </w:pPr>
                      </w:p>
                    </w:tc>
                  </w:tr>
                  <w:tr w:rsidR="0014289B" w14:paraId="694036C3" w14:textId="77777777">
                    <w:trPr>
                      <w:tblCellSpacing w:w="15" w:type="dxa"/>
                      <w:jc w:val="center"/>
                    </w:trPr>
                    <w:tc>
                      <w:tcPr>
                        <w:tcW w:w="150" w:type="dxa"/>
                        <w:vAlign w:val="center"/>
                        <w:hideMark/>
                      </w:tcPr>
                      <w:p w14:paraId="4C8BD93B" w14:textId="77777777" w:rsidR="0014289B" w:rsidRDefault="0014289B" w:rsidP="004E0784">
                        <w:pPr>
                          <w:spacing w:line="264" w:lineRule="auto"/>
                          <w:rPr>
                            <w:rFonts w:ascii="Times New Roman" w:eastAsia="Times New Roman" w:hAnsi="Times New Roman" w:cs="Times New Roman"/>
                            <w:sz w:val="20"/>
                            <w:szCs w:val="20"/>
                          </w:rPr>
                        </w:pPr>
                      </w:p>
                    </w:tc>
                    <w:tc>
                      <w:tcPr>
                        <w:tcW w:w="8700" w:type="dxa"/>
                        <w:vAlign w:val="center"/>
                        <w:hideMark/>
                      </w:tcPr>
                      <w:p w14:paraId="2C199197"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BF30992"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6357664">
                            <v:rect id="_x0000_i1025" style="width:468pt;height:1.5pt" o:hrstd="t" o:hr="t" fillcolor="#a0a0a0" stroked="f"/>
                          </w:pict>
                        </w:r>
                      </w:p>
                      <w:p w14:paraId="65C31D53" w14:textId="77777777" w:rsidR="0014289B" w:rsidRDefault="0014289B" w:rsidP="004E0784">
                        <w:pPr>
                          <w:pStyle w:val="Heading2"/>
                          <w:spacing w:after="0"/>
                          <w:rPr>
                            <w:rFonts w:eastAsia="Times New Roman"/>
                          </w:rPr>
                        </w:pPr>
                        <w:r>
                          <w:rPr>
                            <w:rFonts w:eastAsia="Times New Roman"/>
                          </w:rPr>
                          <w:t>In this update: Advice for staying healthy in the heat; 2022 workforce survey; August Drug Tariff Watch.</w:t>
                        </w:r>
                      </w:p>
                      <w:p w14:paraId="0948D997"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0BA5B5">
                            <v:rect id="_x0000_i1026" style="width:468pt;height:1.5pt" o:hrstd="t" o:hr="t" fillcolor="#a0a0a0" stroked="f"/>
                          </w:pict>
                        </w:r>
                      </w:p>
                      <w:p w14:paraId="4AD02090" w14:textId="77777777" w:rsidR="0014289B" w:rsidRDefault="0014289B" w:rsidP="004E0784">
                        <w:pPr>
                          <w:pStyle w:val="Heading2"/>
                          <w:spacing w:after="0"/>
                          <w:rPr>
                            <w:rFonts w:eastAsia="Times New Roman"/>
                          </w:rPr>
                        </w:pPr>
                        <w:r>
                          <w:rPr>
                            <w:rFonts w:eastAsia="Times New Roman"/>
                          </w:rPr>
                          <w:t>Staying healthy in the heat</w:t>
                        </w:r>
                      </w:p>
                      <w:p w14:paraId="2D7E22AF"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UK Health Security Agency (UKHSA) has issued another heat-health alert for the next few days. During this heatwave, the public may turn to community pharmacy teams for advice about staying well during the hot weather or to seek assistance when feeling unwell because of the heat. </w:t>
                        </w:r>
                      </w:p>
                      <w:p w14:paraId="4E302910" w14:textId="77777777" w:rsidR="004E0784" w:rsidRDefault="004E0784" w:rsidP="004E0784">
                        <w:pPr>
                          <w:spacing w:line="264" w:lineRule="auto"/>
                          <w:rPr>
                            <w:rFonts w:ascii="Tahoma" w:eastAsia="Times New Roman" w:hAnsi="Tahoma" w:cs="Tahoma"/>
                            <w:color w:val="303030"/>
                            <w:sz w:val="21"/>
                            <w:szCs w:val="21"/>
                          </w:rPr>
                        </w:pPr>
                      </w:p>
                      <w:p w14:paraId="5B055C67" w14:textId="77777777" w:rsidR="0014289B" w:rsidRDefault="0014289B" w:rsidP="004E078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previously developed materials that may be used by community pharmacy teams to communicate relevant messages contained in the Heatwave Plan for England and the NHS website guidance on how to cope in hot weather.</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See PSNC's heatwave materials</w:t>
                          </w:r>
                        </w:hyperlink>
                      </w:p>
                      <w:p w14:paraId="77B6CA89"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E0E041">
                            <v:rect id="_x0000_i1027" style="width:468pt;height:1.5pt" o:hrstd="t" o:hr="t" fillcolor="#a0a0a0" stroked="f"/>
                          </w:pict>
                        </w:r>
                      </w:p>
                      <w:p w14:paraId="3A84D1EC" w14:textId="77777777" w:rsidR="0014289B" w:rsidRDefault="0014289B" w:rsidP="004E0784">
                        <w:pPr>
                          <w:pStyle w:val="Heading2"/>
                          <w:spacing w:after="0"/>
                          <w:rPr>
                            <w:rFonts w:eastAsia="Times New Roman"/>
                          </w:rPr>
                        </w:pPr>
                        <w:r>
                          <w:rPr>
                            <w:rFonts w:eastAsia="Times New Roman"/>
                          </w:rPr>
                          <w:t>2022 Workforce Survey</w:t>
                        </w:r>
                      </w:p>
                      <w:p w14:paraId="147610CC"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2022 Community Pharmacy Workforce Survey is due to take place in the autumn and all pharmacy contractors will be asked to submit data to support workforce planning for the sector. </w:t>
                        </w:r>
                      </w:p>
                      <w:p w14:paraId="05FDB861" w14:textId="77777777" w:rsidR="004E0784" w:rsidRDefault="004E0784" w:rsidP="004E0784">
                        <w:pPr>
                          <w:spacing w:line="264" w:lineRule="auto"/>
                          <w:rPr>
                            <w:rFonts w:ascii="Tahoma" w:eastAsia="Times New Roman" w:hAnsi="Tahoma" w:cs="Tahoma"/>
                            <w:color w:val="303030"/>
                            <w:sz w:val="21"/>
                            <w:szCs w:val="21"/>
                          </w:rPr>
                        </w:pPr>
                      </w:p>
                      <w:p w14:paraId="106F0F38" w14:textId="77777777" w:rsidR="0014289B" w:rsidRDefault="0014289B" w:rsidP="004E078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recognition of the recruitment challenges that contractors are facing, from this year, the survey will be undertaken by Health Education England on an annual basis to ensure the NHS and the sector have up to date information on the size and shape of the workforce to support planning at a national and system level.</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 about the survey</w:t>
                          </w:r>
                        </w:hyperlink>
                      </w:p>
                      <w:p w14:paraId="0FA79829"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07ECBD">
                            <v:rect id="_x0000_i1028" style="width:468pt;height:1.5pt" o:hrstd="t" o:hr="t" fillcolor="#a0a0a0" stroked="f"/>
                          </w:pict>
                        </w:r>
                      </w:p>
                      <w:p w14:paraId="2B8514F1" w14:textId="77777777" w:rsidR="0014289B" w:rsidRDefault="0014289B" w:rsidP="004E0784">
                        <w:pPr>
                          <w:pStyle w:val="Heading2"/>
                          <w:spacing w:after="0"/>
                          <w:rPr>
                            <w:rFonts w:eastAsia="Times New Roman"/>
                          </w:rPr>
                        </w:pPr>
                        <w:r>
                          <w:rPr>
                            <w:rFonts w:eastAsia="Times New Roman"/>
                          </w:rPr>
                          <w:t>August Drug Tariff Watch</w:t>
                        </w:r>
                      </w:p>
                      <w:p w14:paraId="2B81364C" w14:textId="77777777" w:rsidR="0014289B" w:rsidRDefault="0014289B" w:rsidP="004E07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created a summary of the Drug Tariff changes for August 2022. This includes details of additions, deletions and category and price changes. </w:t>
                        </w:r>
                      </w:p>
                      <w:p w14:paraId="624769B0" w14:textId="77777777" w:rsidR="004E0784" w:rsidRDefault="004E0784" w:rsidP="004E0784">
                        <w:pPr>
                          <w:spacing w:line="264" w:lineRule="auto"/>
                          <w:rPr>
                            <w:rFonts w:ascii="Tahoma" w:eastAsia="Times New Roman" w:hAnsi="Tahoma" w:cs="Tahoma"/>
                            <w:color w:val="303030"/>
                            <w:sz w:val="21"/>
                            <w:szCs w:val="21"/>
                          </w:rPr>
                        </w:pPr>
                      </w:p>
                      <w:p w14:paraId="170CC5CC" w14:textId="77777777" w:rsidR="0014289B" w:rsidRDefault="0014289B" w:rsidP="004E0784">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See the August 2022 Drug Tariff Watch</w:t>
                          </w:r>
                        </w:hyperlink>
                      </w:p>
                    </w:tc>
                    <w:tc>
                      <w:tcPr>
                        <w:tcW w:w="150" w:type="dxa"/>
                        <w:vAlign w:val="center"/>
                        <w:hideMark/>
                      </w:tcPr>
                      <w:p w14:paraId="600CE1D3" w14:textId="77777777" w:rsidR="0014289B" w:rsidRDefault="0014289B" w:rsidP="004E0784">
                        <w:pPr>
                          <w:spacing w:line="264" w:lineRule="auto"/>
                          <w:rPr>
                            <w:rFonts w:ascii="Tahoma" w:hAnsi="Tahoma" w:cs="Tahoma"/>
                            <w:color w:val="303030"/>
                            <w:sz w:val="21"/>
                            <w:szCs w:val="21"/>
                          </w:rPr>
                        </w:pPr>
                      </w:p>
                    </w:tc>
                  </w:tr>
                  <w:tr w:rsidR="0014289B" w14:paraId="12B3F9D7" w14:textId="77777777">
                    <w:trPr>
                      <w:trHeight w:val="150"/>
                      <w:tblCellSpacing w:w="15" w:type="dxa"/>
                      <w:jc w:val="center"/>
                    </w:trPr>
                    <w:tc>
                      <w:tcPr>
                        <w:tcW w:w="150" w:type="dxa"/>
                        <w:vAlign w:val="center"/>
                        <w:hideMark/>
                      </w:tcPr>
                      <w:p w14:paraId="5F81D23F" w14:textId="77777777" w:rsidR="0014289B" w:rsidRDefault="0014289B" w:rsidP="004E0784">
                        <w:pPr>
                          <w:spacing w:line="264" w:lineRule="auto"/>
                          <w:rPr>
                            <w:rFonts w:ascii="Times New Roman" w:eastAsia="Times New Roman" w:hAnsi="Times New Roman" w:cs="Times New Roman"/>
                            <w:sz w:val="20"/>
                            <w:szCs w:val="20"/>
                          </w:rPr>
                        </w:pPr>
                      </w:p>
                    </w:tc>
                    <w:tc>
                      <w:tcPr>
                        <w:tcW w:w="8700" w:type="dxa"/>
                        <w:vAlign w:val="center"/>
                        <w:hideMark/>
                      </w:tcPr>
                      <w:p w14:paraId="126B9AF3" w14:textId="77777777" w:rsidR="0014289B" w:rsidRDefault="0014289B" w:rsidP="004E0784">
                        <w:pPr>
                          <w:spacing w:line="264" w:lineRule="auto"/>
                          <w:rPr>
                            <w:rFonts w:ascii="Times New Roman" w:eastAsia="Times New Roman" w:hAnsi="Times New Roman" w:cs="Times New Roman"/>
                            <w:sz w:val="20"/>
                            <w:szCs w:val="20"/>
                          </w:rPr>
                        </w:pPr>
                      </w:p>
                    </w:tc>
                    <w:tc>
                      <w:tcPr>
                        <w:tcW w:w="150" w:type="dxa"/>
                        <w:vAlign w:val="center"/>
                        <w:hideMark/>
                      </w:tcPr>
                      <w:p w14:paraId="45240A82" w14:textId="77777777" w:rsidR="0014289B" w:rsidRDefault="0014289B" w:rsidP="004E0784">
                        <w:pPr>
                          <w:spacing w:line="264" w:lineRule="auto"/>
                          <w:rPr>
                            <w:rFonts w:ascii="Times New Roman" w:eastAsia="Times New Roman" w:hAnsi="Times New Roman" w:cs="Times New Roman"/>
                            <w:sz w:val="20"/>
                            <w:szCs w:val="20"/>
                          </w:rPr>
                        </w:pPr>
                      </w:p>
                    </w:tc>
                  </w:tr>
                </w:tbl>
                <w:p w14:paraId="1D847411" w14:textId="77777777" w:rsidR="0014289B" w:rsidRDefault="0014289B" w:rsidP="004E0784">
                  <w:pPr>
                    <w:spacing w:line="264" w:lineRule="auto"/>
                    <w:rPr>
                      <w:rFonts w:ascii="Times New Roman" w:eastAsia="Times New Roman" w:hAnsi="Times New Roman" w:cs="Times New Roman"/>
                      <w:sz w:val="20"/>
                      <w:szCs w:val="20"/>
                    </w:rPr>
                  </w:pPr>
                </w:p>
              </w:tc>
            </w:tr>
          </w:tbl>
          <w:p w14:paraId="35C0EE6F" w14:textId="77777777" w:rsidR="0014289B" w:rsidRDefault="0014289B" w:rsidP="004E0784">
            <w:pPr>
              <w:spacing w:line="264" w:lineRule="auto"/>
              <w:rPr>
                <w:rFonts w:ascii="Times New Roman" w:eastAsia="Times New Roman" w:hAnsi="Times New Roman" w:cs="Times New Roman"/>
                <w:sz w:val="20"/>
                <w:szCs w:val="20"/>
              </w:rPr>
            </w:pPr>
          </w:p>
        </w:tc>
      </w:tr>
      <w:tr w:rsidR="0014289B" w14:paraId="69ABE6CF" w14:textId="77777777" w:rsidTr="0014289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289B" w14:paraId="3FBD042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4289B" w14:paraId="09A68C02" w14:textId="77777777">
                    <w:trPr>
                      <w:tblCellSpacing w:w="0" w:type="dxa"/>
                      <w:jc w:val="center"/>
                    </w:trPr>
                    <w:tc>
                      <w:tcPr>
                        <w:tcW w:w="3000" w:type="dxa"/>
                        <w:tcMar>
                          <w:top w:w="30" w:type="dxa"/>
                          <w:left w:w="75" w:type="dxa"/>
                          <w:bottom w:w="30" w:type="dxa"/>
                          <w:right w:w="75" w:type="dxa"/>
                        </w:tcMar>
                        <w:hideMark/>
                      </w:tcPr>
                      <w:p w14:paraId="0CC0B728" w14:textId="77777777" w:rsidR="0014289B" w:rsidRDefault="0014289B" w:rsidP="004E0784">
                        <w:pPr>
                          <w:pStyle w:val="Heading4"/>
                          <w:spacing w:after="0"/>
                          <w:jc w:val="center"/>
                          <w:rPr>
                            <w:rFonts w:eastAsia="Times New Roman"/>
                          </w:rPr>
                        </w:pPr>
                        <w:r>
                          <w:rPr>
                            <w:rFonts w:eastAsia="Times New Roman"/>
                          </w:rPr>
                          <w:t>Pharmaceutical Services Negotiating Committee</w:t>
                        </w:r>
                      </w:p>
                      <w:p w14:paraId="583F2883" w14:textId="39375E28" w:rsidR="0014289B" w:rsidRDefault="0014289B" w:rsidP="004E0784">
                        <w:pPr>
                          <w:spacing w:line="264" w:lineRule="auto"/>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11E14F" wp14:editId="4959E434">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7EFD5495" wp14:editId="443D629F">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A2E3DE" wp14:editId="17342B09">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0CB2B6" wp14:editId="65BE9190">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p w14:paraId="0A01FF29" w14:textId="1C23EBB7" w:rsidR="0014289B" w:rsidRDefault="0014289B" w:rsidP="004E0784">
                        <w:pPr>
                          <w:spacing w:line="264" w:lineRule="auto"/>
                          <w:jc w:val="center"/>
                          <w:rPr>
                            <w:rFonts w:ascii="Tahoma" w:eastAsia="Times New Roman" w:hAnsi="Tahoma" w:cs="Tahoma"/>
                            <w:color w:val="FFFFFF"/>
                            <w:sz w:val="18"/>
                            <w:szCs w:val="18"/>
                          </w:rPr>
                        </w:pPr>
                        <w:r>
                          <w:rPr>
                            <w:rFonts w:ascii="Tahoma" w:eastAsia="Times New Roman" w:hAnsi="Tahoma" w:cs="Tahoma"/>
                            <w:color w:val="FFFFFF"/>
                            <w:sz w:val="18"/>
                            <w:szCs w:val="18"/>
                          </w:rPr>
                          <w:lastRenderedPageBreak/>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p>
                    </w:tc>
                  </w:tr>
                  <w:tr w:rsidR="0014289B" w14:paraId="5A916131" w14:textId="77777777" w:rsidTr="0014289B">
                    <w:trPr>
                      <w:trHeight w:val="20"/>
                      <w:tblCellSpacing w:w="0" w:type="dxa"/>
                      <w:jc w:val="center"/>
                    </w:trPr>
                    <w:tc>
                      <w:tcPr>
                        <w:tcW w:w="9000" w:type="dxa"/>
                        <w:tcMar>
                          <w:top w:w="150" w:type="dxa"/>
                          <w:left w:w="0" w:type="dxa"/>
                          <w:bottom w:w="0" w:type="dxa"/>
                          <w:right w:w="0" w:type="dxa"/>
                        </w:tcMar>
                        <w:vAlign w:val="center"/>
                        <w:hideMark/>
                      </w:tcPr>
                      <w:p w14:paraId="5555E079" w14:textId="79130692" w:rsidR="0014289B" w:rsidRDefault="0014289B" w:rsidP="004E0784">
                        <w:pPr>
                          <w:spacing w:line="264" w:lineRule="auto"/>
                          <w:rPr>
                            <w:rFonts w:ascii="Arial" w:eastAsia="Times New Roman" w:hAnsi="Arial" w:cs="Arial"/>
                            <w:color w:val="FFFFFF"/>
                            <w:sz w:val="17"/>
                            <w:szCs w:val="17"/>
                          </w:rPr>
                        </w:pPr>
                      </w:p>
                    </w:tc>
                  </w:tr>
                </w:tbl>
                <w:p w14:paraId="164A6979" w14:textId="77777777" w:rsidR="0014289B" w:rsidRDefault="0014289B" w:rsidP="004E0784">
                  <w:pPr>
                    <w:spacing w:line="264" w:lineRule="auto"/>
                    <w:rPr>
                      <w:rFonts w:ascii="Times New Roman" w:eastAsia="Times New Roman" w:hAnsi="Times New Roman" w:cs="Times New Roman"/>
                      <w:sz w:val="20"/>
                      <w:szCs w:val="20"/>
                    </w:rPr>
                  </w:pPr>
                </w:p>
              </w:tc>
            </w:tr>
          </w:tbl>
          <w:p w14:paraId="5155F52F" w14:textId="77777777" w:rsidR="0014289B" w:rsidRDefault="0014289B" w:rsidP="004E0784">
            <w:pPr>
              <w:spacing w:line="264" w:lineRule="auto"/>
              <w:rPr>
                <w:rFonts w:ascii="Times New Roman" w:eastAsia="Times New Roman" w:hAnsi="Times New Roman" w:cs="Times New Roman"/>
                <w:sz w:val="20"/>
                <w:szCs w:val="20"/>
              </w:rPr>
            </w:pPr>
          </w:p>
        </w:tc>
      </w:tr>
    </w:tbl>
    <w:p w14:paraId="02C29222" w14:textId="04AD0448" w:rsidR="0014289B" w:rsidRDefault="0014289B" w:rsidP="004E0784">
      <w:pPr>
        <w:spacing w:line="264" w:lineRule="auto"/>
        <w:rPr>
          <w:rFonts w:eastAsia="Times New Roman"/>
        </w:rPr>
      </w:pPr>
      <w:r>
        <w:rPr>
          <w:rFonts w:eastAsia="Times New Roman"/>
          <w:noProof/>
        </w:rPr>
        <w:lastRenderedPageBreak/>
        <w:drawing>
          <wp:inline distT="0" distB="0" distL="0" distR="0" wp14:anchorId="4530BBA5" wp14:editId="05A421B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5666F8" w14:textId="77777777" w:rsidR="00DD1890" w:rsidRDefault="00DD1890" w:rsidP="004E0784">
      <w:pPr>
        <w:spacing w:line="264" w:lineRule="auto"/>
      </w:pPr>
    </w:p>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9B"/>
    <w:rsid w:val="0014289B"/>
    <w:rsid w:val="004E0784"/>
    <w:rsid w:val="00875A0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E327"/>
  <w15:docId w15:val="{36569E12-1D36-4643-B1B1-BE154420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9B"/>
    <w:rPr>
      <w:rFonts w:ascii="Calibri" w:hAnsi="Calibri" w:cs="Calibri"/>
      <w:lang w:eastAsia="en-GB"/>
    </w:rPr>
  </w:style>
  <w:style w:type="paragraph" w:styleId="Heading1">
    <w:name w:val="heading 1"/>
    <w:basedOn w:val="Normal"/>
    <w:link w:val="Heading1Char"/>
    <w:uiPriority w:val="9"/>
    <w:qFormat/>
    <w:rsid w:val="0014289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4289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4289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89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4289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4289B"/>
    <w:rPr>
      <w:rFonts w:ascii="Tahoma" w:hAnsi="Tahoma" w:cs="Tahoma"/>
      <w:b/>
      <w:bCs/>
      <w:color w:val="FFFFFF"/>
      <w:sz w:val="18"/>
      <w:szCs w:val="18"/>
      <w:lang w:eastAsia="en-GB"/>
    </w:rPr>
  </w:style>
  <w:style w:type="paragraph" w:styleId="NormalWeb">
    <w:name w:val="Normal (Web)"/>
    <w:basedOn w:val="Normal"/>
    <w:uiPriority w:val="99"/>
    <w:semiHidden/>
    <w:unhideWhenUsed/>
    <w:rsid w:val="0014289B"/>
    <w:pPr>
      <w:spacing w:before="100" w:beforeAutospacing="1" w:after="100" w:afterAutospacing="1"/>
    </w:pPr>
  </w:style>
  <w:style w:type="character" w:styleId="Strong">
    <w:name w:val="Strong"/>
    <w:basedOn w:val="DefaultParagraphFont"/>
    <w:uiPriority w:val="22"/>
    <w:qFormat/>
    <w:rsid w:val="0014289B"/>
    <w:rPr>
      <w:b/>
      <w:bCs/>
    </w:rPr>
  </w:style>
  <w:style w:type="character" w:styleId="Hyperlink">
    <w:name w:val="Hyperlink"/>
    <w:basedOn w:val="DefaultParagraphFont"/>
    <w:uiPriority w:val="99"/>
    <w:semiHidden/>
    <w:unhideWhenUsed/>
    <w:rsid w:val="00142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0800dca73&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141eb2e100&amp;e=d19e9fd41c" TargetMode="External"/><Relationship Id="rId25" Type="http://schemas.openxmlformats.org/officeDocument/2006/relationships/image" Target="https://psnc.us7.list-manage.com/track/open.php?u=86d41ab7fa4c7c2c5d7210782&amp;id=438fd0c145&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ec5ada0239&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1fac88edc&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69cfb6cde&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525eb3ba2&amp;e=d19e9fd41c" TargetMode="External"/><Relationship Id="rId14" Type="http://schemas.openxmlformats.org/officeDocument/2006/relationships/hyperlink" Target="https://psnc.us7.list-manage.com/track/click?u=86d41ab7fa4c7c2c5d7210782&amp;id=195605da30&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2022-08-11T07:25:00Z</dcterms:created>
  <dcterms:modified xsi:type="dcterms:W3CDTF">2022-08-11T09:55:00Z</dcterms:modified>
</cp:coreProperties>
</file>