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F52D9" w14:paraId="5FF98696" w14:textId="77777777" w:rsidTr="002F52D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F52D9" w14:paraId="683C581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F52D9" w14:paraId="24C95811" w14:textId="77777777">
                    <w:trPr>
                      <w:tblCellSpacing w:w="0" w:type="dxa"/>
                      <w:jc w:val="center"/>
                    </w:trPr>
                    <w:tc>
                      <w:tcPr>
                        <w:tcW w:w="3000" w:type="dxa"/>
                        <w:hideMark/>
                      </w:tcPr>
                      <w:p w14:paraId="5759A2DA" w14:textId="54415618" w:rsidR="002F52D9" w:rsidRDefault="002F52D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B4459F8" w14:textId="77777777" w:rsidR="002F52D9" w:rsidRDefault="002F52D9">
                  <w:pPr>
                    <w:jc w:val="center"/>
                    <w:rPr>
                      <w:rFonts w:ascii="Times New Roman" w:eastAsia="Times New Roman" w:hAnsi="Times New Roman" w:cs="Times New Roman"/>
                      <w:sz w:val="20"/>
                      <w:szCs w:val="20"/>
                    </w:rPr>
                  </w:pPr>
                </w:p>
              </w:tc>
            </w:tr>
            <w:tr w:rsidR="002F52D9" w14:paraId="2283776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52D9" w14:paraId="618B3E3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32946BC" w14:textId="11B5E140" w:rsidR="002F52D9" w:rsidRDefault="002F52D9">
                        <w:pPr>
                          <w:jc w:val="center"/>
                          <w:rPr>
                            <w:rFonts w:eastAsia="Times New Roman"/>
                          </w:rPr>
                        </w:pPr>
                        <w:r>
                          <w:rPr>
                            <w:rFonts w:eastAsia="Times New Roman"/>
                            <w:noProof/>
                          </w:rPr>
                          <w:drawing>
                            <wp:inline distT="0" distB="0" distL="0" distR="0" wp14:anchorId="50C93FE2" wp14:editId="4BE455A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F52D9" w14:paraId="4A4BBE97" w14:textId="77777777">
                    <w:trPr>
                      <w:tblCellSpacing w:w="0" w:type="dxa"/>
                    </w:trPr>
                    <w:tc>
                      <w:tcPr>
                        <w:tcW w:w="0" w:type="auto"/>
                        <w:vMerge/>
                        <w:tcBorders>
                          <w:top w:val="nil"/>
                          <w:left w:val="nil"/>
                          <w:bottom w:val="single" w:sz="2" w:space="0" w:color="FFFFFF"/>
                          <w:right w:val="nil"/>
                        </w:tcBorders>
                        <w:vAlign w:val="center"/>
                        <w:hideMark/>
                      </w:tcPr>
                      <w:p w14:paraId="35DD9181" w14:textId="77777777" w:rsidR="002F52D9" w:rsidRDefault="002F52D9">
                        <w:pPr>
                          <w:rPr>
                            <w:rFonts w:eastAsia="Times New Roman"/>
                          </w:rPr>
                        </w:pPr>
                      </w:p>
                    </w:tc>
                    <w:tc>
                      <w:tcPr>
                        <w:tcW w:w="3450" w:type="dxa"/>
                        <w:tcBorders>
                          <w:top w:val="nil"/>
                          <w:left w:val="nil"/>
                          <w:bottom w:val="nil"/>
                          <w:right w:val="nil"/>
                        </w:tcBorders>
                        <w:vAlign w:val="center"/>
                        <w:hideMark/>
                      </w:tcPr>
                      <w:p w14:paraId="1023D915" w14:textId="77777777" w:rsidR="002F52D9" w:rsidRDefault="002F52D9">
                        <w:pPr>
                          <w:pStyle w:val="Heading1"/>
                          <w:rPr>
                            <w:rFonts w:eastAsia="Times New Roman"/>
                          </w:rPr>
                        </w:pPr>
                        <w:r>
                          <w:rPr>
                            <w:rFonts w:eastAsia="Times New Roman"/>
                          </w:rPr>
                          <w:t>PSNC Newsletter</w:t>
                        </w:r>
                      </w:p>
                    </w:tc>
                  </w:tr>
                  <w:tr w:rsidR="002F52D9" w14:paraId="0382A6BD" w14:textId="77777777">
                    <w:trPr>
                      <w:tblCellSpacing w:w="0" w:type="dxa"/>
                    </w:trPr>
                    <w:tc>
                      <w:tcPr>
                        <w:tcW w:w="0" w:type="auto"/>
                        <w:vMerge/>
                        <w:tcBorders>
                          <w:top w:val="nil"/>
                          <w:left w:val="nil"/>
                          <w:bottom w:val="single" w:sz="2" w:space="0" w:color="FFFFFF"/>
                          <w:right w:val="nil"/>
                        </w:tcBorders>
                        <w:vAlign w:val="center"/>
                        <w:hideMark/>
                      </w:tcPr>
                      <w:p w14:paraId="56DB7707" w14:textId="77777777" w:rsidR="002F52D9" w:rsidRDefault="002F52D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C722F05" w14:textId="77777777" w:rsidR="002F52D9" w:rsidRDefault="002F52D9">
                        <w:pPr>
                          <w:pStyle w:val="Heading2"/>
                          <w:rPr>
                            <w:rFonts w:eastAsia="Times New Roman"/>
                            <w:color w:val="93378A"/>
                          </w:rPr>
                        </w:pPr>
                        <w:r>
                          <w:rPr>
                            <w:rFonts w:eastAsia="Times New Roman"/>
                            <w:color w:val="93378A"/>
                          </w:rPr>
                          <w:t>Friday 29th July 2022</w:t>
                        </w:r>
                      </w:p>
                    </w:tc>
                  </w:tr>
                </w:tbl>
                <w:p w14:paraId="464364EB" w14:textId="77777777" w:rsidR="002F52D9" w:rsidRDefault="002F52D9">
                  <w:pPr>
                    <w:rPr>
                      <w:rFonts w:ascii="Times New Roman" w:eastAsia="Times New Roman" w:hAnsi="Times New Roman" w:cs="Times New Roman"/>
                      <w:sz w:val="20"/>
                      <w:szCs w:val="20"/>
                    </w:rPr>
                  </w:pPr>
                </w:p>
              </w:tc>
            </w:tr>
            <w:tr w:rsidR="002F52D9" w14:paraId="2ED865B4" w14:textId="77777777">
              <w:tblPrEx>
                <w:shd w:val="clear" w:color="auto" w:fill="auto"/>
              </w:tblPrEx>
              <w:trPr>
                <w:tblCellSpacing w:w="0" w:type="dxa"/>
                <w:jc w:val="center"/>
              </w:trPr>
              <w:tc>
                <w:tcPr>
                  <w:tcW w:w="9000" w:type="dxa"/>
                  <w:hideMark/>
                </w:tcPr>
                <w:p w14:paraId="28891ADD" w14:textId="52243688" w:rsidR="002F52D9" w:rsidRDefault="002F52D9">
                  <w:pPr>
                    <w:rPr>
                      <w:rFonts w:eastAsia="Times New Roman"/>
                    </w:rPr>
                  </w:pPr>
                  <w:r>
                    <w:rPr>
                      <w:rFonts w:eastAsia="Times New Roman"/>
                      <w:noProof/>
                    </w:rPr>
                    <w:drawing>
                      <wp:inline distT="0" distB="0" distL="0" distR="0" wp14:anchorId="53A49B64" wp14:editId="18856FF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F52D9" w14:paraId="229A877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2F52D9" w14:paraId="3EA4300D" w14:textId="77777777">
                    <w:trPr>
                      <w:trHeight w:val="150"/>
                      <w:tblCellSpacing w:w="15" w:type="dxa"/>
                      <w:jc w:val="center"/>
                    </w:trPr>
                    <w:tc>
                      <w:tcPr>
                        <w:tcW w:w="150" w:type="dxa"/>
                        <w:vAlign w:val="center"/>
                        <w:hideMark/>
                      </w:tcPr>
                      <w:p w14:paraId="3EC286ED" w14:textId="77777777" w:rsidR="002F52D9" w:rsidRDefault="002F52D9">
                        <w:pPr>
                          <w:rPr>
                            <w:rFonts w:eastAsia="Times New Roman"/>
                          </w:rPr>
                        </w:pPr>
                      </w:p>
                    </w:tc>
                    <w:tc>
                      <w:tcPr>
                        <w:tcW w:w="8700" w:type="dxa"/>
                        <w:vAlign w:val="center"/>
                        <w:hideMark/>
                      </w:tcPr>
                      <w:p w14:paraId="47BF1873" w14:textId="77777777" w:rsidR="002F52D9" w:rsidRDefault="002F52D9">
                        <w:pPr>
                          <w:rPr>
                            <w:rFonts w:ascii="Times New Roman" w:eastAsia="Times New Roman" w:hAnsi="Times New Roman" w:cs="Times New Roman"/>
                            <w:sz w:val="20"/>
                            <w:szCs w:val="20"/>
                          </w:rPr>
                        </w:pPr>
                      </w:p>
                    </w:tc>
                    <w:tc>
                      <w:tcPr>
                        <w:tcW w:w="150" w:type="dxa"/>
                        <w:vAlign w:val="center"/>
                        <w:hideMark/>
                      </w:tcPr>
                      <w:p w14:paraId="0919D244" w14:textId="77777777" w:rsidR="002F52D9" w:rsidRDefault="002F52D9">
                        <w:pPr>
                          <w:rPr>
                            <w:rFonts w:ascii="Times New Roman" w:eastAsia="Times New Roman" w:hAnsi="Times New Roman" w:cs="Times New Roman"/>
                            <w:sz w:val="20"/>
                            <w:szCs w:val="20"/>
                          </w:rPr>
                        </w:pPr>
                      </w:p>
                    </w:tc>
                  </w:tr>
                  <w:tr w:rsidR="002F52D9" w14:paraId="3DFBFCE1" w14:textId="77777777">
                    <w:trPr>
                      <w:tblCellSpacing w:w="15" w:type="dxa"/>
                      <w:jc w:val="center"/>
                    </w:trPr>
                    <w:tc>
                      <w:tcPr>
                        <w:tcW w:w="150" w:type="dxa"/>
                        <w:vAlign w:val="center"/>
                        <w:hideMark/>
                      </w:tcPr>
                      <w:p w14:paraId="3BD44926" w14:textId="77777777" w:rsidR="002F52D9" w:rsidRDefault="002F52D9">
                        <w:pPr>
                          <w:rPr>
                            <w:rFonts w:ascii="Times New Roman" w:eastAsia="Times New Roman" w:hAnsi="Times New Roman" w:cs="Times New Roman"/>
                            <w:sz w:val="20"/>
                            <w:szCs w:val="20"/>
                          </w:rPr>
                        </w:pPr>
                      </w:p>
                    </w:tc>
                    <w:tc>
                      <w:tcPr>
                        <w:tcW w:w="8700" w:type="dxa"/>
                        <w:vAlign w:val="center"/>
                        <w:hideMark/>
                      </w:tcPr>
                      <w:p w14:paraId="5A071C42" w14:textId="77777777"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DD3E791" w14:textId="77777777"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CEA2072">
                            <v:rect id="_x0000_i1032" style="width:468pt;height:1.5pt" o:hrstd="t" o:hr="t" fillcolor="#a0a0a0" stroked="f"/>
                          </w:pict>
                        </w:r>
                      </w:p>
                      <w:p w14:paraId="25678C7B" w14:textId="77777777" w:rsidR="002F52D9" w:rsidRDefault="002F52D9" w:rsidP="002F52D9">
                        <w:pPr>
                          <w:pStyle w:val="Heading2"/>
                          <w:spacing w:after="0"/>
                          <w:rPr>
                            <w:rFonts w:eastAsia="Times New Roman"/>
                          </w:rPr>
                        </w:pPr>
                        <w:r>
                          <w:rPr>
                            <w:rFonts w:eastAsia="Times New Roman"/>
                          </w:rPr>
                          <w:t>In this update: CEO blog; HRT SSPs extended; Chief Transformation Officer appointed; medicines price adjustment and concessions update; reconciling EPS submission totals. </w:t>
                        </w:r>
                      </w:p>
                      <w:p w14:paraId="10850641" w14:textId="77777777"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CEB9C70">
                            <v:rect id="_x0000_i1033" style="width:468pt;height:1.5pt" o:hrstd="t" o:hr="t" fillcolor="#a0a0a0" stroked="f"/>
                          </w:pict>
                        </w:r>
                      </w:p>
                      <w:p w14:paraId="5A4DAE99" w14:textId="77777777" w:rsidR="002F52D9" w:rsidRDefault="002F52D9" w:rsidP="002F52D9">
                        <w:pPr>
                          <w:pStyle w:val="Heading2"/>
                          <w:spacing w:after="0"/>
                          <w:rPr>
                            <w:rFonts w:eastAsia="Times New Roman"/>
                          </w:rPr>
                        </w:pPr>
                        <w:r>
                          <w:rPr>
                            <w:rFonts w:eastAsia="Times New Roman"/>
                          </w:rPr>
                          <w:t>CEO Blog: July 2022</w:t>
                        </w:r>
                      </w:p>
                      <w:p w14:paraId="71300C41" w14:textId="6990C084"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a new update to the sector, PSNC’s CEO, Janet Morrison, talks about some of the very serious challenges that she has seen facing community pharmacies in England, and the urgent need to put the sector on a sustainable footing. </w:t>
                        </w:r>
                      </w:p>
                      <w:p w14:paraId="71367412" w14:textId="77777777" w:rsidR="002F52D9" w:rsidRDefault="002F52D9" w:rsidP="002F52D9">
                        <w:pPr>
                          <w:spacing w:line="264" w:lineRule="auto"/>
                          <w:rPr>
                            <w:rFonts w:ascii="Tahoma" w:eastAsia="Times New Roman" w:hAnsi="Tahoma" w:cs="Tahoma"/>
                            <w:color w:val="303030"/>
                            <w:sz w:val="21"/>
                            <w:szCs w:val="21"/>
                          </w:rPr>
                        </w:pPr>
                      </w:p>
                      <w:p w14:paraId="5B53104C" w14:textId="77777777" w:rsidR="002F52D9" w:rsidRDefault="002F52D9" w:rsidP="002F52D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the NHS continues to struggle, Janet recognises the incredible efforts of pharmacy teams who are operating well beyond capacity to continue to provide vital healthcare advice and services to patients and the general public.</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the latest PSNC CEO blog</w:t>
                          </w:r>
                        </w:hyperlink>
                      </w:p>
                      <w:p w14:paraId="1CA52906" w14:textId="77777777"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DD6B9A">
                            <v:rect id="_x0000_i1034" style="width:468pt;height:1.5pt" o:hrstd="t" o:hr="t" fillcolor="#a0a0a0" stroked="f"/>
                          </w:pict>
                        </w:r>
                      </w:p>
                      <w:p w14:paraId="072396DC" w14:textId="77777777" w:rsidR="002F52D9" w:rsidRDefault="002F52D9" w:rsidP="002F52D9">
                        <w:pPr>
                          <w:pStyle w:val="Heading2"/>
                          <w:spacing w:after="0"/>
                          <w:rPr>
                            <w:rFonts w:eastAsia="Times New Roman"/>
                          </w:rPr>
                        </w:pPr>
                        <w:r>
                          <w:rPr>
                            <w:rFonts w:eastAsia="Times New Roman"/>
                          </w:rPr>
                          <w:t>12 SSPs for HRT medicines extended</w:t>
                        </w:r>
                      </w:p>
                      <w:p w14:paraId="7B5F3AED" w14:textId="510FDADD"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Twelve of the thirteen Serious Shortage Protocols (SSPs) for Hormone Replacement Therapy (HRT) medicines have been extended until </w:t>
                        </w:r>
                        <w:r>
                          <w:rPr>
                            <w:rStyle w:val="Strong"/>
                            <w:rFonts w:ascii="Tahoma" w:eastAsia="Times New Roman" w:hAnsi="Tahoma" w:cs="Tahoma"/>
                            <w:color w:val="303030"/>
                            <w:sz w:val="21"/>
                            <w:szCs w:val="21"/>
                          </w:rPr>
                          <w:t>28th October 2022</w:t>
                        </w:r>
                        <w:r>
                          <w:rPr>
                            <w:rFonts w:ascii="Tahoma" w:eastAsia="Times New Roman" w:hAnsi="Tahoma" w:cs="Tahoma"/>
                            <w:color w:val="303030"/>
                            <w:sz w:val="21"/>
                            <w:szCs w:val="21"/>
                          </w:rPr>
                          <w:t xml:space="preserve">. This is to help manage the ongoing supply disruptions affecting the availability of these products. The HRT SSPs which have been extended include SSP019, SSP020 and SSPs 022 – 031. </w:t>
                        </w:r>
                      </w:p>
                      <w:p w14:paraId="684C21BB" w14:textId="77777777" w:rsidR="002F52D9" w:rsidRDefault="002F52D9" w:rsidP="002F52D9">
                        <w:pPr>
                          <w:spacing w:line="264" w:lineRule="auto"/>
                          <w:rPr>
                            <w:rFonts w:ascii="Tahoma" w:eastAsia="Times New Roman" w:hAnsi="Tahoma" w:cs="Tahoma"/>
                            <w:color w:val="303030"/>
                            <w:sz w:val="21"/>
                            <w:szCs w:val="21"/>
                          </w:rPr>
                        </w:pPr>
                      </w:p>
                      <w:p w14:paraId="0F64A178" w14:textId="77777777" w:rsidR="002F52D9" w:rsidRDefault="002F52D9" w:rsidP="002F52D9">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Find out more</w:t>
                          </w:r>
                        </w:hyperlink>
                      </w:p>
                      <w:p w14:paraId="22932661" w14:textId="77777777"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A75B09D">
                            <v:rect id="_x0000_i1035" style="width:468pt;height:1.5pt" o:hrstd="t" o:hr="t" fillcolor="#a0a0a0" stroked="f"/>
                          </w:pict>
                        </w:r>
                      </w:p>
                      <w:p w14:paraId="02340A0B" w14:textId="77777777" w:rsidR="002F52D9" w:rsidRDefault="002F52D9" w:rsidP="002F52D9">
                        <w:pPr>
                          <w:pStyle w:val="Heading2"/>
                          <w:spacing w:after="0"/>
                          <w:rPr>
                            <w:rFonts w:eastAsia="Times New Roman"/>
                          </w:rPr>
                        </w:pPr>
                        <w:r>
                          <w:rPr>
                            <w:rFonts w:eastAsia="Times New Roman"/>
                          </w:rPr>
                          <w:t>PSNC appoints Chief Transformation Officer</w:t>
                        </w:r>
                      </w:p>
                      <w:p w14:paraId="21720152" w14:textId="4BB6EDC8"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Robbie Turner has been appointed as PSNC’s Chief Transformation Officer, to work closely with LPCs as part of the </w:t>
                        </w:r>
                        <w:hyperlink r:id="rId10" w:tgtFrame="_blank" w:history="1">
                          <w:r>
                            <w:rPr>
                              <w:rStyle w:val="Hyperlink"/>
                              <w:rFonts w:ascii="Tahoma" w:eastAsia="Times New Roman" w:hAnsi="Tahoma" w:cs="Tahoma"/>
                              <w:b/>
                              <w:bCs/>
                              <w:color w:val="4E3487"/>
                              <w:sz w:val="21"/>
                              <w:szCs w:val="21"/>
                            </w:rPr>
                            <w:t>Transforming Pharmacy Representation (TAPR) Programme</w:t>
                          </w:r>
                        </w:hyperlink>
                        <w:r>
                          <w:rPr>
                            <w:rFonts w:ascii="Tahoma" w:eastAsia="Times New Roman" w:hAnsi="Tahoma" w:cs="Tahoma"/>
                            <w:color w:val="303030"/>
                            <w:sz w:val="21"/>
                            <w:szCs w:val="21"/>
                          </w:rPr>
                          <w:t xml:space="preserve"> of work. </w:t>
                        </w:r>
                      </w:p>
                      <w:p w14:paraId="43CCEC3F" w14:textId="77777777" w:rsidR="002F52D9" w:rsidRDefault="002F52D9" w:rsidP="002F52D9">
                        <w:pPr>
                          <w:spacing w:line="264" w:lineRule="auto"/>
                          <w:rPr>
                            <w:rFonts w:ascii="Tahoma" w:eastAsia="Times New Roman" w:hAnsi="Tahoma" w:cs="Tahoma"/>
                            <w:color w:val="303030"/>
                            <w:sz w:val="21"/>
                            <w:szCs w:val="21"/>
                          </w:rPr>
                        </w:pPr>
                      </w:p>
                      <w:p w14:paraId="2DA9588C" w14:textId="278FF784" w:rsidR="002F52D9" w:rsidRDefault="002F52D9" w:rsidP="002F52D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launched the TAPR Programme in response to the contractor vote in favour of the </w:t>
                        </w:r>
                        <w:hyperlink r:id="rId11" w:history="1">
                          <w:r>
                            <w:rPr>
                              <w:rStyle w:val="Hyperlink"/>
                              <w:rFonts w:ascii="Tahoma" w:hAnsi="Tahoma" w:cs="Tahoma"/>
                              <w:b/>
                              <w:bCs/>
                              <w:color w:val="4E3487"/>
                              <w:sz w:val="21"/>
                              <w:szCs w:val="21"/>
                            </w:rPr>
                            <w:t>Review Steering Group’s proposals</w:t>
                          </w:r>
                        </w:hyperlink>
                        <w:r>
                          <w:rPr>
                            <w:rFonts w:ascii="Tahoma" w:hAnsi="Tahoma" w:cs="Tahoma"/>
                            <w:color w:val="303030"/>
                            <w:sz w:val="21"/>
                            <w:szCs w:val="21"/>
                          </w:rPr>
                          <w:t>. As part of the programme – alongside actioning the recommendations for PSNC – we will be supporting LPCs to implement their proposals.</w:t>
                        </w:r>
                      </w:p>
                      <w:p w14:paraId="5917597E" w14:textId="77777777" w:rsidR="002F52D9" w:rsidRDefault="002F52D9" w:rsidP="002F52D9">
                        <w:pPr>
                          <w:pStyle w:val="NormalWeb"/>
                          <w:spacing w:before="0" w:beforeAutospacing="0" w:after="0" w:afterAutospacing="0" w:line="264" w:lineRule="auto"/>
                          <w:rPr>
                            <w:rFonts w:ascii="Tahoma" w:hAnsi="Tahoma" w:cs="Tahoma"/>
                            <w:color w:val="303030"/>
                            <w:sz w:val="21"/>
                            <w:szCs w:val="21"/>
                          </w:rPr>
                        </w:pPr>
                      </w:p>
                      <w:p w14:paraId="54B6AE5A" w14:textId="77777777" w:rsidR="002F52D9" w:rsidRDefault="002F52D9" w:rsidP="002F52D9">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Learn more about Robbie's experience and the TAPR Programme</w:t>
                          </w:r>
                        </w:hyperlink>
                      </w:p>
                      <w:p w14:paraId="7F4B9513" w14:textId="77777777"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50053D51">
                            <v:rect id="_x0000_i1036" style="width:468pt;height:1.5pt" o:hrstd="t" o:hr="t" fillcolor="#a0a0a0" stroked="f"/>
                          </w:pict>
                        </w:r>
                      </w:p>
                      <w:p w14:paraId="11A2E6B4" w14:textId="77777777" w:rsidR="002F52D9" w:rsidRDefault="002F52D9" w:rsidP="002F52D9">
                        <w:pPr>
                          <w:pStyle w:val="Heading2"/>
                          <w:spacing w:after="0"/>
                          <w:rPr>
                            <w:rFonts w:eastAsia="Times New Roman"/>
                          </w:rPr>
                        </w:pPr>
                        <w:r>
                          <w:rPr>
                            <w:rFonts w:eastAsia="Times New Roman"/>
                          </w:rPr>
                          <w:t>Adjusted price for Promethazine hydrochloride 10mg tablets</w:t>
                        </w:r>
                      </w:p>
                      <w:p w14:paraId="317930FA" w14:textId="77777777"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Due to the price change mechanism, the reimbursement price for Promethazine hydrochloride 10mg tablets has increased from £4.24 to £17.77 for the month of July 2022. Any prescription for Promethazine hydrochloride 10mg tablets x 56 submitted for payment to the NHS Business Services Authority (NHSBSA) for the month of July 2022 will be reimbursed at the new price of £17.77, not as per the price concession of £13.45 announced in the fourth concessions update published on 29th July 2022.</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July Price Concessions: Fourth Update</w:t>
                        </w:r>
                        <w:r>
                          <w:rPr>
                            <w:rFonts w:ascii="Tahoma" w:eastAsia="Times New Roman" w:hAnsi="Tahoma" w:cs="Tahoma"/>
                            <w:color w:val="303030"/>
                            <w:sz w:val="21"/>
                            <w:szCs w:val="21"/>
                          </w:rPr>
                          <w:br/>
                          <w:t>The Department of Health and Social Care (DHSC) has granted an updated list of price concessions for July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See the updated July price concessions list</w:t>
                          </w:r>
                        </w:hyperlink>
                        <w:r>
                          <w:rPr>
                            <w:rFonts w:ascii="Tahoma" w:eastAsia="Times New Roman" w:hAnsi="Tahoma" w:cs="Tahoma"/>
                            <w:color w:val="303030"/>
                            <w:sz w:val="21"/>
                            <w:szCs w:val="21"/>
                          </w:rPr>
                          <w:t xml:space="preserve"> </w:t>
                        </w:r>
                      </w:p>
                      <w:p w14:paraId="1158B965" w14:textId="77777777"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0E34CC">
                            <v:rect id="_x0000_i1037" style="width:468pt;height:1.5pt" o:hrstd="t" o:hr="t" fillcolor="#a0a0a0" stroked="f"/>
                          </w:pict>
                        </w:r>
                      </w:p>
                      <w:p w14:paraId="13CD119D" w14:textId="77777777" w:rsidR="002F52D9" w:rsidRDefault="002F52D9" w:rsidP="002F52D9">
                        <w:pPr>
                          <w:pStyle w:val="Heading2"/>
                          <w:spacing w:after="0"/>
                          <w:rPr>
                            <w:rFonts w:eastAsia="Times New Roman"/>
                          </w:rPr>
                        </w:pPr>
                        <w:r>
                          <w:rPr>
                            <w:rFonts w:eastAsia="Times New Roman"/>
                          </w:rPr>
                          <w:t>Reminder to reconcile your EPS submission totals</w:t>
                        </w:r>
                      </w:p>
                      <w:p w14:paraId="3D29772C" w14:textId="77777777" w:rsidR="002F52D9" w:rsidRDefault="002F52D9" w:rsidP="002F52D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announced previously, all FP34C submissions are now through the Manage Your Service (MYS) portal only, changing the way that EPS totals reconciliation is done. PSNC recommends that contractors compare the number of electronic prescriptions sent and declared to the number that the NHSBSA has counted and priced.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Read PSNC’s factsheet about reconciling EPS prescription totals</w:t>
                          </w:r>
                        </w:hyperlink>
                        <w:r>
                          <w:rPr>
                            <w:rFonts w:ascii="Tahoma" w:eastAsia="Times New Roman" w:hAnsi="Tahoma" w:cs="Tahoma"/>
                            <w:color w:val="303030"/>
                            <w:sz w:val="21"/>
                            <w:szCs w:val="21"/>
                          </w:rPr>
                          <w:t> </w:t>
                        </w:r>
                      </w:p>
                    </w:tc>
                    <w:tc>
                      <w:tcPr>
                        <w:tcW w:w="150" w:type="dxa"/>
                        <w:vAlign w:val="center"/>
                        <w:hideMark/>
                      </w:tcPr>
                      <w:p w14:paraId="7ACDA33B" w14:textId="77777777" w:rsidR="002F52D9" w:rsidRDefault="002F52D9">
                        <w:pPr>
                          <w:rPr>
                            <w:rFonts w:ascii="Tahoma" w:eastAsia="Times New Roman" w:hAnsi="Tahoma" w:cs="Tahoma"/>
                            <w:color w:val="303030"/>
                            <w:sz w:val="21"/>
                            <w:szCs w:val="21"/>
                          </w:rPr>
                        </w:pPr>
                      </w:p>
                    </w:tc>
                  </w:tr>
                  <w:tr w:rsidR="002F52D9" w14:paraId="769114B9" w14:textId="77777777">
                    <w:trPr>
                      <w:trHeight w:val="150"/>
                      <w:tblCellSpacing w:w="15" w:type="dxa"/>
                      <w:jc w:val="center"/>
                    </w:trPr>
                    <w:tc>
                      <w:tcPr>
                        <w:tcW w:w="150" w:type="dxa"/>
                        <w:vAlign w:val="center"/>
                        <w:hideMark/>
                      </w:tcPr>
                      <w:p w14:paraId="072113B1" w14:textId="77777777" w:rsidR="002F52D9" w:rsidRDefault="002F52D9">
                        <w:pPr>
                          <w:rPr>
                            <w:rFonts w:ascii="Times New Roman" w:eastAsia="Times New Roman" w:hAnsi="Times New Roman" w:cs="Times New Roman"/>
                            <w:sz w:val="20"/>
                            <w:szCs w:val="20"/>
                          </w:rPr>
                        </w:pPr>
                      </w:p>
                    </w:tc>
                    <w:tc>
                      <w:tcPr>
                        <w:tcW w:w="8700" w:type="dxa"/>
                        <w:vAlign w:val="center"/>
                        <w:hideMark/>
                      </w:tcPr>
                      <w:p w14:paraId="1AFD1983" w14:textId="77777777" w:rsidR="002F52D9" w:rsidRDefault="002F52D9">
                        <w:pPr>
                          <w:rPr>
                            <w:rFonts w:ascii="Times New Roman" w:eastAsia="Times New Roman" w:hAnsi="Times New Roman" w:cs="Times New Roman"/>
                            <w:sz w:val="20"/>
                            <w:szCs w:val="20"/>
                          </w:rPr>
                        </w:pPr>
                      </w:p>
                    </w:tc>
                    <w:tc>
                      <w:tcPr>
                        <w:tcW w:w="150" w:type="dxa"/>
                        <w:vAlign w:val="center"/>
                        <w:hideMark/>
                      </w:tcPr>
                      <w:p w14:paraId="7AC87082" w14:textId="77777777" w:rsidR="002F52D9" w:rsidRDefault="002F52D9">
                        <w:pPr>
                          <w:rPr>
                            <w:rFonts w:ascii="Times New Roman" w:eastAsia="Times New Roman" w:hAnsi="Times New Roman" w:cs="Times New Roman"/>
                            <w:sz w:val="20"/>
                            <w:szCs w:val="20"/>
                          </w:rPr>
                        </w:pPr>
                      </w:p>
                    </w:tc>
                  </w:tr>
                </w:tbl>
                <w:p w14:paraId="36D4F3D2" w14:textId="77777777" w:rsidR="002F52D9" w:rsidRDefault="002F52D9">
                  <w:pPr>
                    <w:jc w:val="center"/>
                    <w:rPr>
                      <w:rFonts w:ascii="Times New Roman" w:eastAsia="Times New Roman" w:hAnsi="Times New Roman" w:cs="Times New Roman"/>
                      <w:sz w:val="20"/>
                      <w:szCs w:val="20"/>
                    </w:rPr>
                  </w:pPr>
                </w:p>
              </w:tc>
            </w:tr>
          </w:tbl>
          <w:p w14:paraId="1D4AF72F" w14:textId="77777777" w:rsidR="002F52D9" w:rsidRDefault="002F52D9">
            <w:pPr>
              <w:jc w:val="center"/>
              <w:rPr>
                <w:rFonts w:ascii="Times New Roman" w:eastAsia="Times New Roman" w:hAnsi="Times New Roman" w:cs="Times New Roman"/>
                <w:sz w:val="20"/>
                <w:szCs w:val="20"/>
              </w:rPr>
            </w:pPr>
          </w:p>
        </w:tc>
      </w:tr>
      <w:tr w:rsidR="002F52D9" w14:paraId="3DD7EB28" w14:textId="77777777" w:rsidTr="002F52D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F52D9" w14:paraId="1F8AA53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F52D9" w14:paraId="0C5ABF06" w14:textId="77777777">
                    <w:trPr>
                      <w:tblCellSpacing w:w="0" w:type="dxa"/>
                      <w:jc w:val="center"/>
                    </w:trPr>
                    <w:tc>
                      <w:tcPr>
                        <w:tcW w:w="3000" w:type="dxa"/>
                        <w:tcMar>
                          <w:top w:w="30" w:type="dxa"/>
                          <w:left w:w="75" w:type="dxa"/>
                          <w:bottom w:w="30" w:type="dxa"/>
                          <w:right w:w="75" w:type="dxa"/>
                        </w:tcMar>
                        <w:hideMark/>
                      </w:tcPr>
                      <w:p w14:paraId="02AD1165" w14:textId="77777777" w:rsidR="002F52D9" w:rsidRDefault="002F52D9">
                        <w:pPr>
                          <w:pStyle w:val="Heading4"/>
                          <w:jc w:val="center"/>
                          <w:rPr>
                            <w:rFonts w:eastAsia="Times New Roman"/>
                          </w:rPr>
                        </w:pPr>
                        <w:r>
                          <w:rPr>
                            <w:rFonts w:eastAsia="Times New Roman"/>
                          </w:rPr>
                          <w:lastRenderedPageBreak/>
                          <w:t>Pharmaceutical Services Negotiating Committee</w:t>
                        </w:r>
                      </w:p>
                      <w:p w14:paraId="44810E8E" w14:textId="467D762E" w:rsidR="002F52D9" w:rsidRDefault="002F52D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00C7749" wp14:editId="14095E90">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9490B0D" wp14:editId="490E482B">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39E243" wp14:editId="6B4C17ED">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AA1DCC" wp14:editId="6E511B43">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61846A4" w14:textId="77777777" w:rsidR="002F52D9" w:rsidRDefault="002F52D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F52D9" w14:paraId="26BF0E53" w14:textId="77777777" w:rsidTr="002F52D9">
                    <w:trPr>
                      <w:trHeight w:val="197"/>
                      <w:tblCellSpacing w:w="0" w:type="dxa"/>
                      <w:jc w:val="center"/>
                    </w:trPr>
                    <w:tc>
                      <w:tcPr>
                        <w:tcW w:w="9000" w:type="dxa"/>
                        <w:tcMar>
                          <w:top w:w="150" w:type="dxa"/>
                          <w:left w:w="0" w:type="dxa"/>
                          <w:bottom w:w="0" w:type="dxa"/>
                          <w:right w:w="0" w:type="dxa"/>
                        </w:tcMar>
                        <w:vAlign w:val="center"/>
                        <w:hideMark/>
                      </w:tcPr>
                      <w:p w14:paraId="105EFA90" w14:textId="0BD614FE" w:rsidR="002F52D9" w:rsidRDefault="002F52D9" w:rsidP="002F52D9">
                        <w:pPr>
                          <w:rPr>
                            <w:rFonts w:ascii="Arial" w:eastAsia="Times New Roman" w:hAnsi="Arial" w:cs="Arial"/>
                            <w:color w:val="FFFFFF"/>
                            <w:sz w:val="17"/>
                            <w:szCs w:val="17"/>
                          </w:rPr>
                        </w:pPr>
                      </w:p>
                    </w:tc>
                  </w:tr>
                </w:tbl>
                <w:p w14:paraId="0A955FD8" w14:textId="77777777" w:rsidR="002F52D9" w:rsidRDefault="002F52D9">
                  <w:pPr>
                    <w:jc w:val="center"/>
                    <w:rPr>
                      <w:rFonts w:ascii="Times New Roman" w:eastAsia="Times New Roman" w:hAnsi="Times New Roman" w:cs="Times New Roman"/>
                      <w:sz w:val="20"/>
                      <w:szCs w:val="20"/>
                    </w:rPr>
                  </w:pPr>
                </w:p>
              </w:tc>
            </w:tr>
          </w:tbl>
          <w:p w14:paraId="24F09D86" w14:textId="77777777" w:rsidR="002F52D9" w:rsidRDefault="002F52D9">
            <w:pPr>
              <w:jc w:val="center"/>
              <w:rPr>
                <w:rFonts w:ascii="Times New Roman" w:eastAsia="Times New Roman" w:hAnsi="Times New Roman" w:cs="Times New Roman"/>
                <w:sz w:val="20"/>
                <w:szCs w:val="20"/>
              </w:rPr>
            </w:pPr>
          </w:p>
        </w:tc>
      </w:tr>
    </w:tbl>
    <w:p w14:paraId="1F653054" w14:textId="6EBF6ABF" w:rsidR="002F52D9" w:rsidRDefault="002F52D9" w:rsidP="002F52D9">
      <w:pPr>
        <w:rPr>
          <w:rFonts w:eastAsia="Times New Roman"/>
        </w:rPr>
      </w:pPr>
      <w:r>
        <w:rPr>
          <w:rFonts w:eastAsia="Times New Roman"/>
          <w:noProof/>
        </w:rPr>
        <w:drawing>
          <wp:inline distT="0" distB="0" distL="0" distR="0" wp14:anchorId="564605CE" wp14:editId="0F8EA79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EF5DA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D9"/>
    <w:rsid w:val="002F52D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13E8"/>
  <w15:chartTrackingRefBased/>
  <w15:docId w15:val="{BA6E3341-F88A-4818-9B2F-11D5F134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D9"/>
    <w:rPr>
      <w:rFonts w:ascii="Calibri" w:hAnsi="Calibri" w:cs="Calibri"/>
      <w:lang w:eastAsia="en-GB"/>
    </w:rPr>
  </w:style>
  <w:style w:type="paragraph" w:styleId="Heading1">
    <w:name w:val="heading 1"/>
    <w:basedOn w:val="Normal"/>
    <w:link w:val="Heading1Char"/>
    <w:uiPriority w:val="9"/>
    <w:qFormat/>
    <w:rsid w:val="002F52D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F52D9"/>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2F52D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2D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2F52D9"/>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2F52D9"/>
    <w:rPr>
      <w:rFonts w:ascii="Tahoma" w:hAnsi="Tahoma" w:cs="Tahoma"/>
      <w:b/>
      <w:bCs/>
      <w:color w:val="FFFFFF"/>
      <w:sz w:val="18"/>
      <w:szCs w:val="18"/>
      <w:lang w:eastAsia="en-GB"/>
    </w:rPr>
  </w:style>
  <w:style w:type="paragraph" w:styleId="NormalWeb">
    <w:name w:val="Normal (Web)"/>
    <w:basedOn w:val="Normal"/>
    <w:uiPriority w:val="99"/>
    <w:semiHidden/>
    <w:unhideWhenUsed/>
    <w:rsid w:val="002F52D9"/>
    <w:pPr>
      <w:spacing w:before="100" w:beforeAutospacing="1" w:after="100" w:afterAutospacing="1"/>
    </w:pPr>
  </w:style>
  <w:style w:type="character" w:styleId="Strong">
    <w:name w:val="Strong"/>
    <w:basedOn w:val="DefaultParagraphFont"/>
    <w:uiPriority w:val="22"/>
    <w:qFormat/>
    <w:rsid w:val="002F52D9"/>
    <w:rPr>
      <w:b/>
      <w:bCs/>
    </w:rPr>
  </w:style>
  <w:style w:type="character" w:styleId="Hyperlink">
    <w:name w:val="Hyperlink"/>
    <w:basedOn w:val="DefaultParagraphFont"/>
    <w:uiPriority w:val="99"/>
    <w:semiHidden/>
    <w:unhideWhenUsed/>
    <w:rsid w:val="002F5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10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1282fbfcf&amp;e=d19e9fd41c" TargetMode="External"/><Relationship Id="rId13" Type="http://schemas.openxmlformats.org/officeDocument/2006/relationships/hyperlink" Target="https://psnc.us7.list-manage.com/track/click?u=86d41ab7fa4c7c2c5d7210782&amp;id=46528d2ea5&amp;e=d19e9fd41c" TargetMode="External"/><Relationship Id="rId18" Type="http://schemas.openxmlformats.org/officeDocument/2006/relationships/hyperlink" Target="https://psnc.us7.list-manage.com/track/click?u=86d41ab7fa4c7c2c5d7210782&amp;id=038d8305eb&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d52a9fd6b7&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3ea091c06&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6c43990a06&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d34f09566&amp;e=d19e9fd41c" TargetMode="External"/><Relationship Id="rId24" Type="http://schemas.openxmlformats.org/officeDocument/2006/relationships/hyperlink" Target="https://psnc.us7.list-manage.com/track/click?u=86d41ab7fa4c7c2c5d7210782&amp;id=9e177b514d&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acc21cf9ff&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beb5348030&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21a146b195&amp;e=d19e9fd41c" TargetMode="External"/><Relationship Id="rId14" Type="http://schemas.openxmlformats.org/officeDocument/2006/relationships/hyperlink" Target="https://psnc.us7.list-manage.com/track/click?u=86d41ab7fa4c7c2c5d7210782&amp;id=9336ffc824&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2022-08-01T08:02:00Z</dcterms:created>
  <dcterms:modified xsi:type="dcterms:W3CDTF">2022-08-01T08:40:00Z</dcterms:modified>
</cp:coreProperties>
</file>