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D2E41" w14:paraId="11311C03" w14:textId="77777777" w:rsidTr="00ED2E4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2E41" w14:paraId="344F016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D2E41" w14:paraId="04055927" w14:textId="77777777">
                    <w:trPr>
                      <w:tblCellSpacing w:w="0" w:type="dxa"/>
                      <w:jc w:val="center"/>
                    </w:trPr>
                    <w:tc>
                      <w:tcPr>
                        <w:tcW w:w="3000" w:type="dxa"/>
                        <w:hideMark/>
                      </w:tcPr>
                      <w:p w14:paraId="4FF4F91B" w14:textId="71058D21" w:rsidR="00ED2E41" w:rsidRDefault="00ED2E4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C39E690" w14:textId="77777777" w:rsidR="00ED2E41" w:rsidRDefault="00ED2E41">
                  <w:pPr>
                    <w:jc w:val="center"/>
                    <w:rPr>
                      <w:rFonts w:ascii="Times New Roman" w:eastAsia="Times New Roman" w:hAnsi="Times New Roman" w:cs="Times New Roman"/>
                      <w:sz w:val="20"/>
                      <w:szCs w:val="20"/>
                    </w:rPr>
                  </w:pPr>
                </w:p>
              </w:tc>
            </w:tr>
            <w:tr w:rsidR="00ED2E41" w14:paraId="3D8D763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D2E41" w14:paraId="1FB98E8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35B46D7" w14:textId="0E32FA15" w:rsidR="00ED2E41" w:rsidRDefault="00ED2E41">
                        <w:pPr>
                          <w:jc w:val="center"/>
                          <w:rPr>
                            <w:rFonts w:eastAsia="Times New Roman"/>
                          </w:rPr>
                        </w:pPr>
                        <w:r>
                          <w:rPr>
                            <w:rFonts w:eastAsia="Times New Roman"/>
                            <w:noProof/>
                          </w:rPr>
                          <w:drawing>
                            <wp:inline distT="0" distB="0" distL="0" distR="0" wp14:anchorId="2751A320" wp14:editId="1C01DAC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D2E41" w14:paraId="3058E2DE" w14:textId="77777777">
                    <w:trPr>
                      <w:tblCellSpacing w:w="0" w:type="dxa"/>
                    </w:trPr>
                    <w:tc>
                      <w:tcPr>
                        <w:tcW w:w="0" w:type="auto"/>
                        <w:vMerge/>
                        <w:tcBorders>
                          <w:top w:val="nil"/>
                          <w:left w:val="nil"/>
                          <w:bottom w:val="single" w:sz="2" w:space="0" w:color="FFFFFF"/>
                          <w:right w:val="nil"/>
                        </w:tcBorders>
                        <w:vAlign w:val="center"/>
                        <w:hideMark/>
                      </w:tcPr>
                      <w:p w14:paraId="2C9EBF5E" w14:textId="77777777" w:rsidR="00ED2E41" w:rsidRDefault="00ED2E41">
                        <w:pPr>
                          <w:rPr>
                            <w:rFonts w:eastAsia="Times New Roman"/>
                          </w:rPr>
                        </w:pPr>
                      </w:p>
                    </w:tc>
                    <w:tc>
                      <w:tcPr>
                        <w:tcW w:w="3450" w:type="dxa"/>
                        <w:tcBorders>
                          <w:top w:val="nil"/>
                          <w:left w:val="nil"/>
                          <w:bottom w:val="nil"/>
                          <w:right w:val="nil"/>
                        </w:tcBorders>
                        <w:vAlign w:val="center"/>
                        <w:hideMark/>
                      </w:tcPr>
                      <w:p w14:paraId="6120548F" w14:textId="77777777" w:rsidR="00ED2E41" w:rsidRDefault="00ED2E41">
                        <w:pPr>
                          <w:pStyle w:val="Heading1"/>
                          <w:rPr>
                            <w:rFonts w:eastAsia="Times New Roman"/>
                          </w:rPr>
                        </w:pPr>
                        <w:r>
                          <w:rPr>
                            <w:rFonts w:eastAsia="Times New Roman"/>
                          </w:rPr>
                          <w:t>PSNC Newsletter</w:t>
                        </w:r>
                      </w:p>
                    </w:tc>
                  </w:tr>
                  <w:tr w:rsidR="00ED2E41" w14:paraId="0E6D8500" w14:textId="77777777">
                    <w:trPr>
                      <w:tblCellSpacing w:w="0" w:type="dxa"/>
                    </w:trPr>
                    <w:tc>
                      <w:tcPr>
                        <w:tcW w:w="0" w:type="auto"/>
                        <w:vMerge/>
                        <w:tcBorders>
                          <w:top w:val="nil"/>
                          <w:left w:val="nil"/>
                          <w:bottom w:val="single" w:sz="2" w:space="0" w:color="FFFFFF"/>
                          <w:right w:val="nil"/>
                        </w:tcBorders>
                        <w:vAlign w:val="center"/>
                        <w:hideMark/>
                      </w:tcPr>
                      <w:p w14:paraId="5D042E39" w14:textId="77777777" w:rsidR="00ED2E41" w:rsidRDefault="00ED2E4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46E16CE" w14:textId="77777777" w:rsidR="00ED2E41" w:rsidRDefault="00ED2E41">
                        <w:pPr>
                          <w:pStyle w:val="Heading2"/>
                          <w:rPr>
                            <w:rFonts w:eastAsia="Times New Roman"/>
                            <w:color w:val="93378A"/>
                          </w:rPr>
                        </w:pPr>
                        <w:r>
                          <w:rPr>
                            <w:rFonts w:eastAsia="Times New Roman"/>
                            <w:color w:val="93378A"/>
                          </w:rPr>
                          <w:t>Monday 11th July 2022</w:t>
                        </w:r>
                      </w:p>
                    </w:tc>
                  </w:tr>
                </w:tbl>
                <w:p w14:paraId="1A941244" w14:textId="77777777" w:rsidR="00ED2E41" w:rsidRDefault="00ED2E41">
                  <w:pPr>
                    <w:rPr>
                      <w:rFonts w:ascii="Times New Roman" w:eastAsia="Times New Roman" w:hAnsi="Times New Roman" w:cs="Times New Roman"/>
                      <w:sz w:val="20"/>
                      <w:szCs w:val="20"/>
                    </w:rPr>
                  </w:pPr>
                </w:p>
              </w:tc>
            </w:tr>
            <w:tr w:rsidR="00ED2E41" w14:paraId="45F8474B" w14:textId="77777777">
              <w:tblPrEx>
                <w:shd w:val="clear" w:color="auto" w:fill="auto"/>
              </w:tblPrEx>
              <w:trPr>
                <w:tblCellSpacing w:w="0" w:type="dxa"/>
                <w:jc w:val="center"/>
              </w:trPr>
              <w:tc>
                <w:tcPr>
                  <w:tcW w:w="9000" w:type="dxa"/>
                  <w:hideMark/>
                </w:tcPr>
                <w:p w14:paraId="76FC3E8B" w14:textId="4DE0C150" w:rsidR="00ED2E41" w:rsidRDefault="00ED2E41">
                  <w:pPr>
                    <w:rPr>
                      <w:rFonts w:eastAsia="Times New Roman"/>
                    </w:rPr>
                  </w:pPr>
                  <w:r>
                    <w:rPr>
                      <w:rFonts w:eastAsia="Times New Roman"/>
                      <w:noProof/>
                    </w:rPr>
                    <w:drawing>
                      <wp:inline distT="0" distB="0" distL="0" distR="0" wp14:anchorId="01EBCFE1" wp14:editId="0BB8DC1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D2E41" w14:paraId="387B3E1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ED2E41" w14:paraId="6FBA7B43" w14:textId="77777777">
                    <w:trPr>
                      <w:trHeight w:val="150"/>
                      <w:tblCellSpacing w:w="15" w:type="dxa"/>
                      <w:jc w:val="center"/>
                    </w:trPr>
                    <w:tc>
                      <w:tcPr>
                        <w:tcW w:w="150" w:type="dxa"/>
                        <w:vAlign w:val="center"/>
                        <w:hideMark/>
                      </w:tcPr>
                      <w:p w14:paraId="60D3D831" w14:textId="77777777" w:rsidR="00ED2E41" w:rsidRDefault="00ED2E41">
                        <w:pPr>
                          <w:rPr>
                            <w:rFonts w:eastAsia="Times New Roman"/>
                          </w:rPr>
                        </w:pPr>
                      </w:p>
                    </w:tc>
                    <w:tc>
                      <w:tcPr>
                        <w:tcW w:w="8700" w:type="dxa"/>
                        <w:vAlign w:val="center"/>
                        <w:hideMark/>
                      </w:tcPr>
                      <w:p w14:paraId="3A19C8BC" w14:textId="77777777" w:rsidR="00ED2E41" w:rsidRDefault="00ED2E41">
                        <w:pPr>
                          <w:rPr>
                            <w:rFonts w:ascii="Times New Roman" w:eastAsia="Times New Roman" w:hAnsi="Times New Roman" w:cs="Times New Roman"/>
                            <w:sz w:val="20"/>
                            <w:szCs w:val="20"/>
                          </w:rPr>
                        </w:pPr>
                      </w:p>
                    </w:tc>
                    <w:tc>
                      <w:tcPr>
                        <w:tcW w:w="150" w:type="dxa"/>
                        <w:vAlign w:val="center"/>
                        <w:hideMark/>
                      </w:tcPr>
                      <w:p w14:paraId="0A36B495" w14:textId="77777777" w:rsidR="00ED2E41" w:rsidRDefault="00ED2E41">
                        <w:pPr>
                          <w:rPr>
                            <w:rFonts w:ascii="Times New Roman" w:eastAsia="Times New Roman" w:hAnsi="Times New Roman" w:cs="Times New Roman"/>
                            <w:sz w:val="20"/>
                            <w:szCs w:val="20"/>
                          </w:rPr>
                        </w:pPr>
                      </w:p>
                    </w:tc>
                  </w:tr>
                  <w:tr w:rsidR="00ED2E41" w14:paraId="33F7E786" w14:textId="77777777">
                    <w:trPr>
                      <w:tblCellSpacing w:w="15" w:type="dxa"/>
                      <w:jc w:val="center"/>
                    </w:trPr>
                    <w:tc>
                      <w:tcPr>
                        <w:tcW w:w="150" w:type="dxa"/>
                        <w:vAlign w:val="center"/>
                        <w:hideMark/>
                      </w:tcPr>
                      <w:p w14:paraId="6017AFF3" w14:textId="77777777" w:rsidR="00ED2E41" w:rsidRDefault="00ED2E41">
                        <w:pPr>
                          <w:rPr>
                            <w:rFonts w:ascii="Times New Roman" w:eastAsia="Times New Roman" w:hAnsi="Times New Roman" w:cs="Times New Roman"/>
                            <w:sz w:val="20"/>
                            <w:szCs w:val="20"/>
                          </w:rPr>
                        </w:pPr>
                      </w:p>
                    </w:tc>
                    <w:tc>
                      <w:tcPr>
                        <w:tcW w:w="8700" w:type="dxa"/>
                        <w:vAlign w:val="center"/>
                        <w:hideMark/>
                      </w:tcPr>
                      <w:p w14:paraId="07C5EBCD" w14:textId="77777777" w:rsidR="00ED2E41" w:rsidRDefault="00ED2E4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EF3C7E0" w14:textId="77777777" w:rsidR="00ED2E41" w:rsidRDefault="00ED2E4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E92A8A1">
                            <v:rect id="_x0000_i1032" style="width:468pt;height:1.5pt" o:hralign="center" o:hrstd="t" o:hr="t" fillcolor="#a0a0a0" stroked="f"/>
                          </w:pict>
                        </w:r>
                      </w:p>
                      <w:p w14:paraId="7947C340" w14:textId="77777777" w:rsidR="00ED2E41" w:rsidRDefault="00ED2E41">
                        <w:pPr>
                          <w:pStyle w:val="Heading2"/>
                          <w:rPr>
                            <w:rFonts w:eastAsia="Times New Roman"/>
                          </w:rPr>
                        </w:pPr>
                        <w:r>
                          <w:rPr>
                            <w:rFonts w:eastAsia="Times New Roman"/>
                          </w:rPr>
                          <w:t>In this update: New Pharmacy Minister; over 80% of pharmacies now have RTEC; staying healthy in the heat; survey on pharmacy's role in continence support.</w:t>
                        </w:r>
                      </w:p>
                      <w:p w14:paraId="511A5726" w14:textId="77777777" w:rsidR="00ED2E41" w:rsidRDefault="00ED2E4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B5C03AD">
                            <v:rect id="_x0000_i1033" style="width:468pt;height:1.5pt" o:hralign="center" o:hrstd="t" o:hr="t" fillcolor="#a0a0a0" stroked="f"/>
                          </w:pict>
                        </w:r>
                      </w:p>
                      <w:p w14:paraId="7A8E3208" w14:textId="77777777" w:rsidR="00ED2E41" w:rsidRDefault="00ED2E41" w:rsidP="00ED2E41">
                        <w:pPr>
                          <w:pStyle w:val="Heading3"/>
                          <w:spacing w:after="0"/>
                          <w:rPr>
                            <w:rFonts w:eastAsia="Times New Roman"/>
                          </w:rPr>
                        </w:pPr>
                        <w:r>
                          <w:rPr>
                            <w:rFonts w:eastAsia="Times New Roman"/>
                          </w:rPr>
                          <w:t>Change of Pharmacy Minister</w:t>
                        </w:r>
                      </w:p>
                      <w:p w14:paraId="3C2245F5" w14:textId="77777777" w:rsidR="00ED2E41" w:rsidRDefault="00ED2E41" w:rsidP="00ED2E4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Steve Barclay's appointment as Health Secretary, James Morris MP has been named as the new Minister with responsibility for pharmacy. His official title is Minister for Patient Safety and Primary Care.</w:t>
                        </w:r>
                        <w:r>
                          <w:rPr>
                            <w:rFonts w:ascii="Tahoma" w:hAnsi="Tahoma" w:cs="Tahoma"/>
                            <w:color w:val="303030"/>
                            <w:sz w:val="21"/>
                            <w:szCs w:val="21"/>
                          </w:rPr>
                          <w:br/>
                        </w:r>
                        <w:r>
                          <w:rPr>
                            <w:rFonts w:ascii="Tahoma" w:hAnsi="Tahoma" w:cs="Tahoma"/>
                            <w:color w:val="303030"/>
                            <w:sz w:val="21"/>
                            <w:szCs w:val="21"/>
                          </w:rPr>
                          <w:br/>
                          <w:t>PSNC is seeking to meet with Mr Morris at the earliest opportunity and will work to ensure that he is fully briefed on the serious current pressures that pharmacy teams are facing, as well as the incredible value that they bring to their communities.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w:t>
                          </w:r>
                        </w:hyperlink>
                      </w:p>
                      <w:p w14:paraId="09E294F5" w14:textId="77777777" w:rsidR="00ED2E41" w:rsidRDefault="00ED2E41" w:rsidP="00ED2E4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405F6DD">
                            <v:rect id="_x0000_i1034" style="width:468pt;height:1.5pt" o:hrstd="t" o:hr="t" fillcolor="#a0a0a0" stroked="f"/>
                          </w:pict>
                        </w:r>
                      </w:p>
                      <w:p w14:paraId="54794362" w14:textId="77777777" w:rsidR="00ED2E41" w:rsidRDefault="00ED2E41" w:rsidP="00ED2E41">
                        <w:pPr>
                          <w:pStyle w:val="Heading3"/>
                          <w:spacing w:after="0"/>
                          <w:rPr>
                            <w:rFonts w:eastAsia="Times New Roman"/>
                          </w:rPr>
                        </w:pPr>
                        <w:r>
                          <w:rPr>
                            <w:rFonts w:eastAsia="Times New Roman"/>
                          </w:rPr>
                          <w:t>RTEC DWP rolled out to over 80% of pharmacies</w:t>
                        </w:r>
                      </w:p>
                      <w:p w14:paraId="4B1AF246" w14:textId="77777777" w:rsidR="00ED2E41" w:rsidRDefault="00ED2E41" w:rsidP="00ED2E4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NHS Business Services Authority (NHSBSA) has confirmed that over 80% of pharmacy organisations have now received the Department for Work and Pensions (DWP) functionality for Real Time Exemption Checking (RTEC).</w:t>
                        </w:r>
                        <w:r>
                          <w:rPr>
                            <w:rFonts w:ascii="Tahoma" w:hAnsi="Tahoma" w:cs="Tahoma"/>
                            <w:color w:val="303030"/>
                            <w:sz w:val="21"/>
                            <w:szCs w:val="21"/>
                          </w:rPr>
                          <w:br/>
                        </w:r>
                        <w:r>
                          <w:rPr>
                            <w:rFonts w:ascii="Tahoma" w:hAnsi="Tahoma" w:cs="Tahoma"/>
                            <w:color w:val="303030"/>
                            <w:sz w:val="21"/>
                            <w:szCs w:val="21"/>
                          </w:rPr>
                          <w:br/>
                          <w:t>RTEC allows pharmacy teams to digitally check if patients are eligible for free NHS prescriptions because they hold a specific exemption. The rollout of the DWP inclusion in RTEC means patients found to be exempt via RTEC no longer need to complete an exemption declaration on an EPS token, saving time for patients and pharmacy teams.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RTEC rollout</w:t>
                          </w:r>
                        </w:hyperlink>
                      </w:p>
                      <w:p w14:paraId="63CD41F1" w14:textId="77777777" w:rsidR="00ED2E41" w:rsidRDefault="00ED2E41" w:rsidP="00ED2E4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DC4F3B">
                            <v:rect id="_x0000_i1035" style="width:468pt;height:1.5pt" o:hrstd="t" o:hr="t" fillcolor="#a0a0a0" stroked="f"/>
                          </w:pict>
                        </w:r>
                      </w:p>
                      <w:p w14:paraId="5467A493" w14:textId="77777777" w:rsidR="00ED2E41" w:rsidRDefault="00ED2E41" w:rsidP="00ED2E41">
                        <w:pPr>
                          <w:pStyle w:val="Heading3"/>
                          <w:spacing w:after="0"/>
                          <w:rPr>
                            <w:rFonts w:eastAsia="Times New Roman"/>
                          </w:rPr>
                        </w:pPr>
                        <w:r>
                          <w:rPr>
                            <w:rFonts w:eastAsia="Times New Roman"/>
                          </w:rPr>
                          <w:t>Staying healthy in the heat – advice for patients</w:t>
                        </w:r>
                      </w:p>
                      <w:p w14:paraId="27217611" w14:textId="77777777" w:rsidR="00ED2E41" w:rsidRDefault="00ED2E41" w:rsidP="00ED2E4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UK Health Security Agency (UKHSA) has issued a </w:t>
                        </w:r>
                        <w:hyperlink r:id="rId10" w:tgtFrame="_blank" w:history="1">
                          <w:r>
                            <w:rPr>
                              <w:rStyle w:val="Hyperlink"/>
                              <w:rFonts w:ascii="Tahoma" w:hAnsi="Tahoma" w:cs="Tahoma"/>
                              <w:b/>
                              <w:bCs/>
                              <w:color w:val="4E3487"/>
                              <w:sz w:val="21"/>
                              <w:szCs w:val="21"/>
                            </w:rPr>
                            <w:t>heat-health alert</w:t>
                          </w:r>
                        </w:hyperlink>
                        <w:r>
                          <w:rPr>
                            <w:rFonts w:ascii="Tahoma" w:hAnsi="Tahoma" w:cs="Tahoma"/>
                            <w:color w:val="303030"/>
                            <w:sz w:val="21"/>
                            <w:szCs w:val="21"/>
                          </w:rPr>
                          <w:t xml:space="preserve"> for this week. During this heatwave, the public may turn to community pharmacy teams for advice. PSNC has previously developed materials that may be used by pharmacy teams to communicate relevant messages contained in the Heatwave Plan for England and NHS guidance on how to cope in hot weather.</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Download the heatwave resources</w:t>
                          </w:r>
                        </w:hyperlink>
                      </w:p>
                      <w:p w14:paraId="49BB3BC6" w14:textId="77777777" w:rsidR="00ED2E41" w:rsidRDefault="00ED2E41" w:rsidP="00ED2E4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25D86732">
                            <v:rect id="_x0000_i1036" style="width:468pt;height:1.5pt" o:hrstd="t" o:hr="t" fillcolor="#a0a0a0" stroked="f"/>
                          </w:pict>
                        </w:r>
                      </w:p>
                      <w:p w14:paraId="2EF0ED5A" w14:textId="77777777" w:rsidR="00ED2E41" w:rsidRDefault="00ED2E41" w:rsidP="00ED2E41">
                        <w:pPr>
                          <w:pStyle w:val="Heading3"/>
                          <w:spacing w:after="0"/>
                          <w:rPr>
                            <w:rFonts w:eastAsia="Times New Roman"/>
                          </w:rPr>
                        </w:pPr>
                        <w:r>
                          <w:rPr>
                            <w:rFonts w:eastAsia="Times New Roman"/>
                          </w:rPr>
                          <w:t>Share your views on pharmacy's role in promotion of continence</w:t>
                        </w:r>
                      </w:p>
                      <w:p w14:paraId="6BCE680A" w14:textId="77777777" w:rsidR="00ED2E41" w:rsidRDefault="00ED2E41" w:rsidP="00ED2E4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Pharmacy teams are invited to participate in a survey which aims to explore current practice in community pharmacy regarding the management of individuals who present with bladder and/or bowel incontinence. The survey should take around 10-15 minutes to complete and should be completed by </w:t>
                        </w:r>
                        <w:r>
                          <w:rPr>
                            <w:rStyle w:val="Strong"/>
                            <w:rFonts w:ascii="Tahoma" w:hAnsi="Tahoma" w:cs="Tahoma"/>
                            <w:color w:val="303030"/>
                            <w:sz w:val="21"/>
                            <w:szCs w:val="21"/>
                          </w:rPr>
                          <w:t>one</w:t>
                        </w:r>
                        <w:r>
                          <w:rPr>
                            <w:rFonts w:ascii="Tahoma" w:hAnsi="Tahoma" w:cs="Tahoma"/>
                            <w:color w:val="303030"/>
                            <w:sz w:val="21"/>
                            <w:szCs w:val="21"/>
                          </w:rPr>
                          <w:t xml:space="preserve"> member of staff working within the community pharmacy.</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the survey</w:t>
                          </w:r>
                        </w:hyperlink>
                      </w:p>
                    </w:tc>
                    <w:tc>
                      <w:tcPr>
                        <w:tcW w:w="150" w:type="dxa"/>
                        <w:vAlign w:val="center"/>
                        <w:hideMark/>
                      </w:tcPr>
                      <w:p w14:paraId="687A395F" w14:textId="77777777" w:rsidR="00ED2E41" w:rsidRDefault="00ED2E41">
                        <w:pPr>
                          <w:rPr>
                            <w:rFonts w:ascii="Tahoma" w:hAnsi="Tahoma" w:cs="Tahoma"/>
                            <w:color w:val="303030"/>
                            <w:sz w:val="21"/>
                            <w:szCs w:val="21"/>
                          </w:rPr>
                        </w:pPr>
                      </w:p>
                    </w:tc>
                  </w:tr>
                  <w:tr w:rsidR="00ED2E41" w14:paraId="04EEDBEC" w14:textId="77777777">
                    <w:trPr>
                      <w:trHeight w:val="150"/>
                      <w:tblCellSpacing w:w="15" w:type="dxa"/>
                      <w:jc w:val="center"/>
                    </w:trPr>
                    <w:tc>
                      <w:tcPr>
                        <w:tcW w:w="150" w:type="dxa"/>
                        <w:vAlign w:val="center"/>
                        <w:hideMark/>
                      </w:tcPr>
                      <w:p w14:paraId="4879DCBE" w14:textId="77777777" w:rsidR="00ED2E41" w:rsidRDefault="00ED2E41">
                        <w:pPr>
                          <w:rPr>
                            <w:rFonts w:ascii="Times New Roman" w:eastAsia="Times New Roman" w:hAnsi="Times New Roman" w:cs="Times New Roman"/>
                            <w:sz w:val="20"/>
                            <w:szCs w:val="20"/>
                          </w:rPr>
                        </w:pPr>
                      </w:p>
                    </w:tc>
                    <w:tc>
                      <w:tcPr>
                        <w:tcW w:w="8700" w:type="dxa"/>
                        <w:vAlign w:val="center"/>
                        <w:hideMark/>
                      </w:tcPr>
                      <w:p w14:paraId="06162F6E" w14:textId="77777777" w:rsidR="00ED2E41" w:rsidRDefault="00ED2E41">
                        <w:pPr>
                          <w:rPr>
                            <w:rFonts w:ascii="Times New Roman" w:eastAsia="Times New Roman" w:hAnsi="Times New Roman" w:cs="Times New Roman"/>
                            <w:sz w:val="20"/>
                            <w:szCs w:val="20"/>
                          </w:rPr>
                        </w:pPr>
                      </w:p>
                    </w:tc>
                    <w:tc>
                      <w:tcPr>
                        <w:tcW w:w="150" w:type="dxa"/>
                        <w:vAlign w:val="center"/>
                        <w:hideMark/>
                      </w:tcPr>
                      <w:p w14:paraId="1C26509A" w14:textId="77777777" w:rsidR="00ED2E41" w:rsidRDefault="00ED2E41">
                        <w:pPr>
                          <w:rPr>
                            <w:rFonts w:ascii="Times New Roman" w:eastAsia="Times New Roman" w:hAnsi="Times New Roman" w:cs="Times New Roman"/>
                            <w:sz w:val="20"/>
                            <w:szCs w:val="20"/>
                          </w:rPr>
                        </w:pPr>
                      </w:p>
                    </w:tc>
                  </w:tr>
                </w:tbl>
                <w:p w14:paraId="5A779425" w14:textId="77777777" w:rsidR="00ED2E41" w:rsidRDefault="00ED2E41">
                  <w:pPr>
                    <w:jc w:val="center"/>
                    <w:rPr>
                      <w:rFonts w:ascii="Times New Roman" w:eastAsia="Times New Roman" w:hAnsi="Times New Roman" w:cs="Times New Roman"/>
                      <w:sz w:val="20"/>
                      <w:szCs w:val="20"/>
                    </w:rPr>
                  </w:pPr>
                </w:p>
              </w:tc>
            </w:tr>
          </w:tbl>
          <w:p w14:paraId="6B0A9CE0" w14:textId="77777777" w:rsidR="00ED2E41" w:rsidRDefault="00ED2E41">
            <w:pPr>
              <w:jc w:val="center"/>
              <w:rPr>
                <w:rFonts w:ascii="Times New Roman" w:eastAsia="Times New Roman" w:hAnsi="Times New Roman" w:cs="Times New Roman"/>
                <w:sz w:val="20"/>
                <w:szCs w:val="20"/>
              </w:rPr>
            </w:pPr>
          </w:p>
        </w:tc>
      </w:tr>
      <w:tr w:rsidR="00ED2E41" w14:paraId="0D291244" w14:textId="77777777" w:rsidTr="00ED2E4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2E41" w14:paraId="46E8E60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D2E41" w14:paraId="3FA18B6B" w14:textId="77777777">
                    <w:trPr>
                      <w:tblCellSpacing w:w="0" w:type="dxa"/>
                      <w:jc w:val="center"/>
                    </w:trPr>
                    <w:tc>
                      <w:tcPr>
                        <w:tcW w:w="3000" w:type="dxa"/>
                        <w:tcMar>
                          <w:top w:w="30" w:type="dxa"/>
                          <w:left w:w="75" w:type="dxa"/>
                          <w:bottom w:w="30" w:type="dxa"/>
                          <w:right w:w="75" w:type="dxa"/>
                        </w:tcMar>
                        <w:hideMark/>
                      </w:tcPr>
                      <w:p w14:paraId="240C6274" w14:textId="77777777" w:rsidR="00ED2E41" w:rsidRDefault="00ED2E41">
                        <w:pPr>
                          <w:pStyle w:val="Heading4"/>
                          <w:jc w:val="center"/>
                          <w:rPr>
                            <w:rFonts w:eastAsia="Times New Roman"/>
                          </w:rPr>
                        </w:pPr>
                        <w:r>
                          <w:rPr>
                            <w:rFonts w:eastAsia="Times New Roman"/>
                          </w:rPr>
                          <w:lastRenderedPageBreak/>
                          <w:t>Pharmaceutical Services Negotiating Committee</w:t>
                        </w:r>
                      </w:p>
                      <w:p w14:paraId="0A29BAEF" w14:textId="5A40B4B6" w:rsidR="00ED2E41" w:rsidRDefault="00ED2E4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9FBBE0E" wp14:editId="566ACCD4">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9B71792" wp14:editId="6D2EE680">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1018E1" wp14:editId="416DCDA6">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497253C" wp14:editId="0E51A10B">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DF51E8A" w14:textId="77777777" w:rsidR="00ED2E41" w:rsidRDefault="00ED2E4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D2E41" w14:paraId="2DA44969" w14:textId="77777777" w:rsidTr="00ED2E41">
                    <w:trPr>
                      <w:trHeight w:val="20"/>
                      <w:tblCellSpacing w:w="0" w:type="dxa"/>
                      <w:jc w:val="center"/>
                    </w:trPr>
                    <w:tc>
                      <w:tcPr>
                        <w:tcW w:w="9000" w:type="dxa"/>
                        <w:tcMar>
                          <w:top w:w="150" w:type="dxa"/>
                          <w:left w:w="0" w:type="dxa"/>
                          <w:bottom w:w="0" w:type="dxa"/>
                          <w:right w:w="0" w:type="dxa"/>
                        </w:tcMar>
                        <w:vAlign w:val="center"/>
                        <w:hideMark/>
                      </w:tcPr>
                      <w:p w14:paraId="336E684E" w14:textId="015CD7D0" w:rsidR="00ED2E41" w:rsidRDefault="00ED2E41" w:rsidP="00ED2E41">
                        <w:pPr>
                          <w:rPr>
                            <w:rFonts w:ascii="Arial" w:eastAsia="Times New Roman" w:hAnsi="Arial" w:cs="Arial"/>
                            <w:color w:val="FFFFFF"/>
                            <w:sz w:val="17"/>
                            <w:szCs w:val="17"/>
                          </w:rPr>
                        </w:pPr>
                      </w:p>
                    </w:tc>
                  </w:tr>
                </w:tbl>
                <w:p w14:paraId="12A10927" w14:textId="77777777" w:rsidR="00ED2E41" w:rsidRDefault="00ED2E41">
                  <w:pPr>
                    <w:jc w:val="center"/>
                    <w:rPr>
                      <w:rFonts w:ascii="Times New Roman" w:eastAsia="Times New Roman" w:hAnsi="Times New Roman" w:cs="Times New Roman"/>
                      <w:sz w:val="20"/>
                      <w:szCs w:val="20"/>
                    </w:rPr>
                  </w:pPr>
                </w:p>
              </w:tc>
            </w:tr>
          </w:tbl>
          <w:p w14:paraId="6FCC56C1" w14:textId="77777777" w:rsidR="00ED2E41" w:rsidRDefault="00ED2E41">
            <w:pPr>
              <w:jc w:val="center"/>
              <w:rPr>
                <w:rFonts w:ascii="Times New Roman" w:eastAsia="Times New Roman" w:hAnsi="Times New Roman" w:cs="Times New Roman"/>
                <w:sz w:val="20"/>
                <w:szCs w:val="20"/>
              </w:rPr>
            </w:pPr>
          </w:p>
        </w:tc>
      </w:tr>
    </w:tbl>
    <w:p w14:paraId="7BAE80C2" w14:textId="1FF598B0" w:rsidR="00ED2E41" w:rsidRDefault="00ED2E41" w:rsidP="00ED2E41">
      <w:pPr>
        <w:rPr>
          <w:rFonts w:eastAsia="Times New Roman"/>
        </w:rPr>
      </w:pPr>
      <w:r>
        <w:rPr>
          <w:rFonts w:eastAsia="Times New Roman"/>
          <w:noProof/>
        </w:rPr>
        <w:drawing>
          <wp:inline distT="0" distB="0" distL="0" distR="0" wp14:anchorId="457C6329" wp14:editId="3D311B6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B8C780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41"/>
    <w:rsid w:val="00DD1890"/>
    <w:rsid w:val="00ED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95F1"/>
  <w15:chartTrackingRefBased/>
  <w15:docId w15:val="{B67D5692-768B-4239-848F-E534DABE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41"/>
    <w:rPr>
      <w:rFonts w:ascii="Calibri" w:hAnsi="Calibri" w:cs="Calibri"/>
      <w:lang w:eastAsia="en-GB"/>
    </w:rPr>
  </w:style>
  <w:style w:type="paragraph" w:styleId="Heading1">
    <w:name w:val="heading 1"/>
    <w:basedOn w:val="Normal"/>
    <w:link w:val="Heading1Char"/>
    <w:uiPriority w:val="9"/>
    <w:qFormat/>
    <w:rsid w:val="00ED2E4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D2E4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D2E4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D2E4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4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D2E4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D2E4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D2E41"/>
    <w:rPr>
      <w:rFonts w:ascii="Tahoma" w:hAnsi="Tahoma" w:cs="Tahoma"/>
      <w:b/>
      <w:bCs/>
      <w:color w:val="FFFFFF"/>
      <w:sz w:val="18"/>
      <w:szCs w:val="18"/>
      <w:lang w:eastAsia="en-GB"/>
    </w:rPr>
  </w:style>
  <w:style w:type="paragraph" w:styleId="NormalWeb">
    <w:name w:val="Normal (Web)"/>
    <w:basedOn w:val="Normal"/>
    <w:uiPriority w:val="99"/>
    <w:semiHidden/>
    <w:unhideWhenUsed/>
    <w:rsid w:val="00ED2E41"/>
    <w:pPr>
      <w:spacing w:before="100" w:beforeAutospacing="1" w:after="100" w:afterAutospacing="1"/>
    </w:pPr>
  </w:style>
  <w:style w:type="character" w:styleId="Strong">
    <w:name w:val="Strong"/>
    <w:basedOn w:val="DefaultParagraphFont"/>
    <w:uiPriority w:val="22"/>
    <w:qFormat/>
    <w:rsid w:val="00ED2E41"/>
    <w:rPr>
      <w:b/>
      <w:bCs/>
    </w:rPr>
  </w:style>
  <w:style w:type="character" w:styleId="Hyperlink">
    <w:name w:val="Hyperlink"/>
    <w:basedOn w:val="DefaultParagraphFont"/>
    <w:uiPriority w:val="99"/>
    <w:semiHidden/>
    <w:unhideWhenUsed/>
    <w:rsid w:val="00ED2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3ef7903c6&amp;e=d19e9fd41c" TargetMode="External"/><Relationship Id="rId13" Type="http://schemas.openxmlformats.org/officeDocument/2006/relationships/hyperlink" Target="https://psnc.us7.list-manage.com/track/click?u=86d41ab7fa4c7c2c5d7210782&amp;id=305874127f&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3f9626aca&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2cf29e04da&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2508ff4f1&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052a207ab8&amp;e=d19e9fd41c" TargetMode="External"/><Relationship Id="rId19" Type="http://schemas.openxmlformats.org/officeDocument/2006/relationships/hyperlink" Target="https://psnc.us7.list-manage.com/track/click?u=86d41ab7fa4c7c2c5d7210782&amp;id=2daaba8f21&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53591a9e90&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737df48030&amp;e=d19e9fd41c" TargetMode="External"/><Relationship Id="rId27" Type="http://schemas.openxmlformats.org/officeDocument/2006/relationships/image" Target="https://psnc.us7.list-manage.com/track/open.php?u=86d41ab7fa4c7c2c5d7210782&amp;id=78ebc6bb8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2022-07-12T07:33:00Z</dcterms:created>
  <dcterms:modified xsi:type="dcterms:W3CDTF">2022-07-12T07:35:00Z</dcterms:modified>
</cp:coreProperties>
</file>