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B00D8" w14:paraId="47206BD1" w14:textId="77777777" w:rsidTr="000B00D8">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0B00D8" w14:paraId="37679B9D" w14:textId="77777777" w:rsidTr="000B00D8">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B00D8" w14:paraId="089F4D5C" w14:textId="77777777">
                    <w:trPr>
                      <w:tblCellSpacing w:w="0" w:type="dxa"/>
                      <w:jc w:val="center"/>
                    </w:trPr>
                    <w:tc>
                      <w:tcPr>
                        <w:tcW w:w="3000" w:type="dxa"/>
                        <w:hideMark/>
                      </w:tcPr>
                      <w:p w14:paraId="1C447092" w14:textId="43E833DF" w:rsidR="000B00D8" w:rsidRDefault="000B00D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2677E5D" w14:textId="77777777" w:rsidR="000B00D8" w:rsidRDefault="000B00D8">
                  <w:pPr>
                    <w:jc w:val="center"/>
                    <w:rPr>
                      <w:rFonts w:ascii="Times New Roman" w:eastAsia="Times New Roman" w:hAnsi="Times New Roman" w:cs="Times New Roman"/>
                      <w:sz w:val="20"/>
                      <w:szCs w:val="20"/>
                    </w:rPr>
                  </w:pPr>
                </w:p>
              </w:tc>
            </w:tr>
            <w:tr w:rsidR="000B00D8" w14:paraId="70A8CE0D" w14:textId="77777777" w:rsidTr="000B00D8">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B00D8" w14:paraId="43FA2A2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F8FA000" w14:textId="4F570A8A" w:rsidR="000B00D8" w:rsidRDefault="000B00D8">
                        <w:pPr>
                          <w:jc w:val="center"/>
                          <w:rPr>
                            <w:rFonts w:eastAsia="Times New Roman"/>
                          </w:rPr>
                        </w:pPr>
                        <w:r>
                          <w:rPr>
                            <w:rFonts w:eastAsia="Times New Roman"/>
                            <w:noProof/>
                          </w:rPr>
                          <w:drawing>
                            <wp:inline distT="0" distB="0" distL="0" distR="0" wp14:anchorId="1D14F494" wp14:editId="2DD13E7D">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0B00D8" w14:paraId="44BA27BC" w14:textId="77777777">
                    <w:trPr>
                      <w:tblCellSpacing w:w="0" w:type="dxa"/>
                    </w:trPr>
                    <w:tc>
                      <w:tcPr>
                        <w:tcW w:w="0" w:type="auto"/>
                        <w:vMerge/>
                        <w:tcBorders>
                          <w:top w:val="nil"/>
                          <w:left w:val="nil"/>
                          <w:bottom w:val="single" w:sz="2" w:space="0" w:color="FFFFFF"/>
                          <w:right w:val="nil"/>
                        </w:tcBorders>
                        <w:vAlign w:val="center"/>
                        <w:hideMark/>
                      </w:tcPr>
                      <w:p w14:paraId="6F308B5C" w14:textId="77777777" w:rsidR="000B00D8" w:rsidRDefault="000B00D8">
                        <w:pPr>
                          <w:rPr>
                            <w:rFonts w:eastAsia="Times New Roman"/>
                          </w:rPr>
                        </w:pPr>
                      </w:p>
                    </w:tc>
                    <w:tc>
                      <w:tcPr>
                        <w:tcW w:w="3450" w:type="dxa"/>
                        <w:tcBorders>
                          <w:top w:val="nil"/>
                          <w:left w:val="nil"/>
                          <w:bottom w:val="nil"/>
                          <w:right w:val="nil"/>
                        </w:tcBorders>
                        <w:vAlign w:val="center"/>
                        <w:hideMark/>
                      </w:tcPr>
                      <w:p w14:paraId="345F3D29" w14:textId="77777777" w:rsidR="000B00D8" w:rsidRDefault="000B00D8">
                        <w:pPr>
                          <w:pStyle w:val="Heading1"/>
                          <w:rPr>
                            <w:rFonts w:eastAsia="Times New Roman"/>
                          </w:rPr>
                        </w:pPr>
                        <w:r>
                          <w:rPr>
                            <w:rFonts w:eastAsia="Times New Roman"/>
                          </w:rPr>
                          <w:t>PSNC Newsletter</w:t>
                        </w:r>
                      </w:p>
                    </w:tc>
                  </w:tr>
                  <w:tr w:rsidR="000B00D8" w14:paraId="2CCEE246" w14:textId="77777777">
                    <w:trPr>
                      <w:tblCellSpacing w:w="0" w:type="dxa"/>
                    </w:trPr>
                    <w:tc>
                      <w:tcPr>
                        <w:tcW w:w="0" w:type="auto"/>
                        <w:vMerge/>
                        <w:tcBorders>
                          <w:top w:val="nil"/>
                          <w:left w:val="nil"/>
                          <w:bottom w:val="single" w:sz="2" w:space="0" w:color="FFFFFF"/>
                          <w:right w:val="nil"/>
                        </w:tcBorders>
                        <w:vAlign w:val="center"/>
                        <w:hideMark/>
                      </w:tcPr>
                      <w:p w14:paraId="349328F8" w14:textId="77777777" w:rsidR="000B00D8" w:rsidRDefault="000B00D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C978B7D" w14:textId="77777777" w:rsidR="000B00D8" w:rsidRDefault="000B00D8">
                        <w:pPr>
                          <w:pStyle w:val="Heading2"/>
                          <w:rPr>
                            <w:rFonts w:eastAsia="Times New Roman"/>
                            <w:color w:val="93378A"/>
                          </w:rPr>
                        </w:pPr>
                        <w:r>
                          <w:rPr>
                            <w:rFonts w:eastAsia="Times New Roman"/>
                            <w:color w:val="93378A"/>
                          </w:rPr>
                          <w:t>Wednesday 22nd June 2022</w:t>
                        </w:r>
                      </w:p>
                    </w:tc>
                  </w:tr>
                </w:tbl>
                <w:p w14:paraId="17CB632F" w14:textId="77777777" w:rsidR="000B00D8" w:rsidRDefault="000B00D8">
                  <w:pPr>
                    <w:rPr>
                      <w:rFonts w:ascii="Times New Roman" w:eastAsia="Times New Roman" w:hAnsi="Times New Roman" w:cs="Times New Roman"/>
                      <w:sz w:val="20"/>
                      <w:szCs w:val="20"/>
                    </w:rPr>
                  </w:pPr>
                </w:p>
              </w:tc>
            </w:tr>
            <w:tr w:rsidR="000B00D8" w14:paraId="697873E7" w14:textId="77777777" w:rsidTr="000B00D8">
              <w:tblPrEx>
                <w:shd w:val="clear" w:color="auto" w:fill="auto"/>
              </w:tblPrEx>
              <w:trPr>
                <w:tblCellSpacing w:w="0" w:type="dxa"/>
                <w:jc w:val="center"/>
              </w:trPr>
              <w:tc>
                <w:tcPr>
                  <w:tcW w:w="9026" w:type="dxa"/>
                  <w:gridSpan w:val="2"/>
                  <w:hideMark/>
                </w:tcPr>
                <w:p w14:paraId="16F5A99C" w14:textId="1B1390A4" w:rsidR="000B00D8" w:rsidRDefault="000B00D8">
                  <w:pPr>
                    <w:rPr>
                      <w:rFonts w:eastAsia="Times New Roman"/>
                    </w:rPr>
                  </w:pPr>
                  <w:r>
                    <w:rPr>
                      <w:rFonts w:eastAsia="Times New Roman"/>
                      <w:noProof/>
                    </w:rPr>
                    <w:drawing>
                      <wp:inline distT="0" distB="0" distL="0" distR="0" wp14:anchorId="47F795E0" wp14:editId="2C001ADE">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0B00D8" w14:paraId="064E3AB1" w14:textId="77777777" w:rsidTr="000B00D8">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B00D8" w14:paraId="2C329CE5" w14:textId="77777777">
                    <w:trPr>
                      <w:trHeight w:val="150"/>
                      <w:tblCellSpacing w:w="15" w:type="dxa"/>
                      <w:jc w:val="center"/>
                    </w:trPr>
                    <w:tc>
                      <w:tcPr>
                        <w:tcW w:w="150" w:type="dxa"/>
                        <w:vAlign w:val="center"/>
                        <w:hideMark/>
                      </w:tcPr>
                      <w:p w14:paraId="4D034187" w14:textId="77777777" w:rsidR="000B00D8" w:rsidRDefault="000B00D8">
                        <w:pPr>
                          <w:rPr>
                            <w:rFonts w:eastAsia="Times New Roman"/>
                          </w:rPr>
                        </w:pPr>
                      </w:p>
                    </w:tc>
                    <w:tc>
                      <w:tcPr>
                        <w:tcW w:w="8700" w:type="dxa"/>
                        <w:vAlign w:val="center"/>
                        <w:hideMark/>
                      </w:tcPr>
                      <w:p w14:paraId="10F5C55E" w14:textId="77777777" w:rsidR="000B00D8" w:rsidRDefault="000B00D8">
                        <w:pPr>
                          <w:rPr>
                            <w:rFonts w:ascii="Times New Roman" w:eastAsia="Times New Roman" w:hAnsi="Times New Roman" w:cs="Times New Roman"/>
                            <w:sz w:val="20"/>
                            <w:szCs w:val="20"/>
                          </w:rPr>
                        </w:pPr>
                      </w:p>
                    </w:tc>
                    <w:tc>
                      <w:tcPr>
                        <w:tcW w:w="150" w:type="dxa"/>
                        <w:vAlign w:val="center"/>
                        <w:hideMark/>
                      </w:tcPr>
                      <w:p w14:paraId="3FA15B26" w14:textId="77777777" w:rsidR="000B00D8" w:rsidRDefault="000B00D8">
                        <w:pPr>
                          <w:rPr>
                            <w:rFonts w:ascii="Times New Roman" w:eastAsia="Times New Roman" w:hAnsi="Times New Roman" w:cs="Times New Roman"/>
                            <w:sz w:val="20"/>
                            <w:szCs w:val="20"/>
                          </w:rPr>
                        </w:pPr>
                      </w:p>
                    </w:tc>
                  </w:tr>
                  <w:tr w:rsidR="000B00D8" w14:paraId="5374A388" w14:textId="77777777">
                    <w:trPr>
                      <w:tblCellSpacing w:w="15" w:type="dxa"/>
                      <w:jc w:val="center"/>
                    </w:trPr>
                    <w:tc>
                      <w:tcPr>
                        <w:tcW w:w="150" w:type="dxa"/>
                        <w:vAlign w:val="center"/>
                        <w:hideMark/>
                      </w:tcPr>
                      <w:p w14:paraId="2CB9B9BC" w14:textId="77777777" w:rsidR="000B00D8" w:rsidRDefault="000B00D8" w:rsidP="000B00D8">
                        <w:pPr>
                          <w:spacing w:line="264" w:lineRule="auto"/>
                          <w:rPr>
                            <w:rFonts w:ascii="Times New Roman" w:eastAsia="Times New Roman" w:hAnsi="Times New Roman" w:cs="Times New Roman"/>
                            <w:sz w:val="20"/>
                            <w:szCs w:val="20"/>
                          </w:rPr>
                        </w:pPr>
                      </w:p>
                    </w:tc>
                    <w:tc>
                      <w:tcPr>
                        <w:tcW w:w="8700" w:type="dxa"/>
                        <w:vAlign w:val="center"/>
                        <w:hideMark/>
                      </w:tcPr>
                      <w:p w14:paraId="6C173224"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0EB8EE8"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3D907D">
                            <v:rect id="_x0000_i1032" style="width:468pt;height:1.5pt" o:hrstd="t" o:hr="t" fillcolor="#a0a0a0" stroked="f"/>
                          </w:pict>
                        </w:r>
                      </w:p>
                      <w:p w14:paraId="77D62F9F" w14:textId="77777777" w:rsidR="000B00D8" w:rsidRDefault="000B00D8" w:rsidP="000B00D8">
                        <w:pPr>
                          <w:pStyle w:val="Heading2"/>
                          <w:spacing w:after="0"/>
                          <w:rPr>
                            <w:rFonts w:eastAsia="Times New Roman"/>
                          </w:rPr>
                        </w:pPr>
                        <w:r>
                          <w:rPr>
                            <w:rFonts w:eastAsia="Times New Roman"/>
                          </w:rPr>
                          <w:t>In this update: Vote result on RSG proposals; MP debate on pharmacy pressures; end to printing of FP34Cs; BOPA cancer training; reminder to complete DSPTK toolkit.</w:t>
                        </w:r>
                      </w:p>
                      <w:p w14:paraId="6EEDE2B1"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DCC448">
                            <v:rect id="_x0000_i1033" style="width:468pt;height:1.5pt" o:hrstd="t" o:hr="t" fillcolor="#a0a0a0" stroked="f"/>
                          </w:pict>
                        </w:r>
                      </w:p>
                      <w:p w14:paraId="371E8AED" w14:textId="77777777" w:rsidR="000B00D8" w:rsidRDefault="000B00D8" w:rsidP="000B00D8">
                        <w:pPr>
                          <w:pStyle w:val="Heading2"/>
                          <w:spacing w:after="0"/>
                          <w:rPr>
                            <w:rFonts w:eastAsia="Times New Roman"/>
                          </w:rPr>
                        </w:pPr>
                        <w:r>
                          <w:rPr>
                            <w:rFonts w:eastAsia="Times New Roman"/>
                          </w:rPr>
                          <w:t>RSG vote paves way for changes to PSNC and LPCs</w:t>
                        </w:r>
                      </w:p>
                      <w:p w14:paraId="29C46BDC"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Review Steering Group (RSG) has announced that the thresholds for its contactor vote on the future of PSNC and the LPCs have been met, with 88.6% of those voting in favour of the RSG’s proposals.</w:t>
                        </w:r>
                        <w:r>
                          <w:rPr>
                            <w:rFonts w:ascii="Tahoma" w:eastAsia="Times New Roman" w:hAnsi="Tahoma" w:cs="Tahoma"/>
                            <w:color w:val="303030"/>
                            <w:sz w:val="21"/>
                            <w:szCs w:val="21"/>
                          </w:rPr>
                          <w:br/>
                        </w:r>
                        <w:r>
                          <w:rPr>
                            <w:rFonts w:ascii="Tahoma" w:eastAsia="Times New Roman" w:hAnsi="Tahoma" w:cs="Tahoma"/>
                            <w:color w:val="303030"/>
                            <w:sz w:val="21"/>
                            <w:szCs w:val="21"/>
                          </w:rPr>
                          <w:br/>
                          <w:t>The result of the RSG vote sets a clear direction from contractors for the future. PSNC will consider the vote outcome and its next steps at the July PSNC Meeting with a view to updating contractors after that meeting, and to putting together a more detailed action plan and timelines for the sector over the summer.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F6A8E84"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62D2D4">
                            <v:rect id="_x0000_i1034" style="width:468pt;height:1.5pt" o:hrstd="t" o:hr="t" fillcolor="#a0a0a0" stroked="f"/>
                          </w:pict>
                        </w:r>
                      </w:p>
                      <w:p w14:paraId="65EA559D" w14:textId="77777777" w:rsidR="000B00D8" w:rsidRDefault="000B00D8" w:rsidP="000B00D8">
                        <w:pPr>
                          <w:pStyle w:val="Heading2"/>
                          <w:spacing w:after="0"/>
                          <w:rPr>
                            <w:rFonts w:eastAsia="Times New Roman"/>
                          </w:rPr>
                        </w:pPr>
                        <w:r>
                          <w:rPr>
                            <w:rFonts w:eastAsia="Times New Roman"/>
                          </w:rPr>
                          <w:t>MPs call out unsustainable pressures on pharmacies</w:t>
                        </w:r>
                      </w:p>
                      <w:p w14:paraId="69E34505"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MPs from across the political spectrum called for increased funding for community pharmacy in a parliamentary debate held yesterday. The debate followed work by PSNC and LPCs to brief Parliamentarians on the financial pressures facing community pharmacies. </w:t>
                        </w:r>
                      </w:p>
                      <w:p w14:paraId="23AF6B85" w14:textId="77777777" w:rsidR="000B00D8" w:rsidRDefault="000B00D8" w:rsidP="000B00D8">
                        <w:pPr>
                          <w:pStyle w:val="NormalWeb"/>
                          <w:spacing w:before="0" w:beforeAutospacing="0" w:after="0" w:afterAutospacing="0" w:line="264" w:lineRule="auto"/>
                          <w:rPr>
                            <w:rFonts w:ascii="Tahoma" w:hAnsi="Tahoma" w:cs="Tahoma"/>
                            <w:color w:val="303030"/>
                            <w:sz w:val="21"/>
                            <w:szCs w:val="21"/>
                          </w:rPr>
                        </w:pPr>
                      </w:p>
                      <w:p w14:paraId="4EDBBA9D" w14:textId="3E1AC2C9" w:rsidR="000B00D8" w:rsidRDefault="000B00D8" w:rsidP="000B00D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Six MPs spoke in support of community pharmacy during the debate, and Minister for Primary Care (including pharmacy), Maria Caulfield MP, said, 'I can reassure Members that the PSNC is negotiating hard [for year 4] and we want to work with it to expand services.'</w:t>
                        </w:r>
                      </w:p>
                      <w:p w14:paraId="29919E53" w14:textId="77777777" w:rsidR="000B00D8" w:rsidRDefault="000B00D8" w:rsidP="000B00D8">
                        <w:pPr>
                          <w:spacing w:line="264" w:lineRule="auto"/>
                          <w:rPr>
                            <w:rFonts w:ascii="Tahoma" w:eastAsia="Times New Roman" w:hAnsi="Tahoma" w:cs="Tahoma"/>
                            <w:color w:val="303030"/>
                            <w:sz w:val="21"/>
                            <w:szCs w:val="21"/>
                          </w:rPr>
                        </w:pPr>
                      </w:p>
                      <w:p w14:paraId="5E930528" w14:textId="1BBC8045" w:rsidR="000B00D8" w:rsidRDefault="000B00D8" w:rsidP="000B00D8">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Learn more about this debate</w:t>
                          </w:r>
                        </w:hyperlink>
                        <w:r>
                          <w:rPr>
                            <w:rFonts w:ascii="Tahoma" w:eastAsia="Times New Roman" w:hAnsi="Tahoma" w:cs="Tahoma"/>
                            <w:color w:val="303030"/>
                            <w:sz w:val="21"/>
                            <w:szCs w:val="21"/>
                          </w:rPr>
                          <w:t xml:space="preserve"> </w:t>
                        </w:r>
                      </w:p>
                      <w:p w14:paraId="4939AD7E"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E3EDA9E">
                            <v:rect id="_x0000_i1035" style="width:468pt;height:1.5pt" o:hrstd="t" o:hr="t" fillcolor="#a0a0a0" stroked="f"/>
                          </w:pict>
                        </w:r>
                      </w:p>
                      <w:p w14:paraId="44C18C12" w14:textId="77777777" w:rsidR="000B00D8" w:rsidRDefault="000B00D8" w:rsidP="000B00D8">
                        <w:pPr>
                          <w:pStyle w:val="Heading2"/>
                          <w:spacing w:after="0"/>
                          <w:rPr>
                            <w:rFonts w:eastAsia="Times New Roman"/>
                          </w:rPr>
                        </w:pPr>
                        <w:r>
                          <w:rPr>
                            <w:rFonts w:eastAsia="Times New Roman"/>
                          </w:rPr>
                          <w:t>New Account Identifier Document for submission of paper prescriptions</w:t>
                        </w:r>
                      </w:p>
                      <w:p w14:paraId="50276B73"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August 2022 (for July 2022 prescriptions), contractors will no longer need to print and submit a paper copy of their completed FP34C declaration. Instead, the NHS Business Services Authority (NHSBSA) will post out a paper Account Identifier Document to pharmacies, along with the usual red separators and pharmacy address labels each month.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1351FD9C"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5C55C3CD">
                            <v:rect id="_x0000_i1036" style="width:468pt;height:1.5pt" o:hrstd="t" o:hr="t" fillcolor="#a0a0a0" stroked="f"/>
                          </w:pict>
                        </w:r>
                      </w:p>
                      <w:p w14:paraId="4B7B138D" w14:textId="77777777" w:rsidR="000B00D8" w:rsidRDefault="000B00D8" w:rsidP="000B00D8">
                        <w:pPr>
                          <w:pStyle w:val="Heading2"/>
                          <w:spacing w:after="0"/>
                          <w:rPr>
                            <w:rFonts w:eastAsia="Times New Roman"/>
                          </w:rPr>
                        </w:pPr>
                        <w:r>
                          <w:rPr>
                            <w:rFonts w:eastAsia="Times New Roman"/>
                          </w:rPr>
                          <w:t>Let’s communicate cancer training</w:t>
                        </w:r>
                      </w:p>
                      <w:p w14:paraId="4BA9E5CF" w14:textId="5273A606"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British Oncology Pharmacy Association’s (BOPA) Let’s Communicate Cancer training has now been added to the Health Education England e-learning for healthcare website. The course is aimed at all members of the pharmacy team and consists of four modules aimed at helping pharmacy team members to communicate better with their patients about cancer. </w:t>
                        </w:r>
                      </w:p>
                      <w:p w14:paraId="39B52625" w14:textId="77777777" w:rsidR="000B00D8" w:rsidRDefault="000B00D8" w:rsidP="000B00D8">
                        <w:pPr>
                          <w:spacing w:line="264" w:lineRule="auto"/>
                          <w:rPr>
                            <w:rFonts w:ascii="Tahoma" w:eastAsia="Times New Roman" w:hAnsi="Tahoma" w:cs="Tahoma"/>
                            <w:color w:val="303030"/>
                            <w:sz w:val="21"/>
                            <w:szCs w:val="21"/>
                          </w:rPr>
                        </w:pPr>
                      </w:p>
                      <w:p w14:paraId="4FE20B04" w14:textId="77777777" w:rsidR="000B00D8" w:rsidRDefault="000B00D8" w:rsidP="000B00D8">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 about this training</w:t>
                          </w:r>
                        </w:hyperlink>
                      </w:p>
                      <w:p w14:paraId="2DCD89F9"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457898">
                            <v:rect id="_x0000_i1037" style="width:468pt;height:1.5pt" o:hrstd="t" o:hr="t" fillcolor="#a0a0a0" stroked="f"/>
                          </w:pict>
                        </w:r>
                      </w:p>
                      <w:p w14:paraId="4132D00D" w14:textId="13A27099" w:rsidR="000B00D8" w:rsidRDefault="000B00D8" w:rsidP="000B00D8">
                        <w:pPr>
                          <w:pStyle w:val="Heading2"/>
                          <w:spacing w:after="0"/>
                          <w:rPr>
                            <w:rFonts w:eastAsia="Times New Roman"/>
                          </w:rPr>
                        </w:pPr>
                        <w:r>
                          <w:rPr>
                            <w:rFonts w:eastAsia="Times New Roman"/>
                          </w:rPr>
                          <w:t xml:space="preserve">Reminder: deadline to complete DSPTK </w:t>
                        </w:r>
                        <w:r>
                          <w:rPr>
                            <w:rFonts w:eastAsia="Times New Roman"/>
                          </w:rPr>
                          <w:t>t</w:t>
                        </w:r>
                        <w:r>
                          <w:rPr>
                            <w:rFonts w:eastAsia="Times New Roman"/>
                          </w:rPr>
                          <w:t>oolkit approaching</w:t>
                        </w:r>
                      </w:p>
                      <w:p w14:paraId="55645E36" w14:textId="77777777" w:rsidR="000B00D8" w:rsidRDefault="000B00D8" w:rsidP="000B00D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Pharmacy contractors are reminded that the deadline to complete the Data Security and Protection Toolkit for 2021/22 is </w:t>
                        </w:r>
                        <w:r>
                          <w:rPr>
                            <w:rStyle w:val="Strong"/>
                            <w:rFonts w:ascii="Tahoma" w:eastAsia="Times New Roman" w:hAnsi="Tahoma" w:cs="Tahoma"/>
                            <w:color w:val="303030"/>
                            <w:sz w:val="21"/>
                            <w:szCs w:val="21"/>
                          </w:rPr>
                          <w:t>next Thursday (30th June 2022)</w:t>
                        </w:r>
                        <w:r>
                          <w:rPr>
                            <w:rFonts w:ascii="Tahoma" w:eastAsia="Times New Roman" w:hAnsi="Tahoma" w:cs="Tahoma"/>
                            <w:color w:val="303030"/>
                            <w:sz w:val="21"/>
                            <w:szCs w:val="21"/>
                          </w:rPr>
                          <w:t>. Contractors are required to complete this toolkit annually as part of the Pharmacy Terms of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See PSNC's Toolkit guidance</w:t>
                          </w:r>
                        </w:hyperlink>
                      </w:p>
                    </w:tc>
                    <w:tc>
                      <w:tcPr>
                        <w:tcW w:w="150" w:type="dxa"/>
                        <w:vAlign w:val="center"/>
                        <w:hideMark/>
                      </w:tcPr>
                      <w:p w14:paraId="067F0F25" w14:textId="77777777" w:rsidR="000B00D8" w:rsidRDefault="000B00D8">
                        <w:pPr>
                          <w:rPr>
                            <w:rFonts w:ascii="Tahoma" w:eastAsia="Times New Roman" w:hAnsi="Tahoma" w:cs="Tahoma"/>
                            <w:color w:val="303030"/>
                            <w:sz w:val="21"/>
                            <w:szCs w:val="21"/>
                          </w:rPr>
                        </w:pPr>
                      </w:p>
                    </w:tc>
                  </w:tr>
                  <w:tr w:rsidR="000B00D8" w14:paraId="786D95B4" w14:textId="77777777">
                    <w:trPr>
                      <w:trHeight w:val="150"/>
                      <w:tblCellSpacing w:w="15" w:type="dxa"/>
                      <w:jc w:val="center"/>
                    </w:trPr>
                    <w:tc>
                      <w:tcPr>
                        <w:tcW w:w="150" w:type="dxa"/>
                        <w:vAlign w:val="center"/>
                        <w:hideMark/>
                      </w:tcPr>
                      <w:p w14:paraId="3CB26EE0" w14:textId="77777777" w:rsidR="000B00D8" w:rsidRDefault="000B00D8">
                        <w:pPr>
                          <w:rPr>
                            <w:rFonts w:ascii="Times New Roman" w:eastAsia="Times New Roman" w:hAnsi="Times New Roman" w:cs="Times New Roman"/>
                            <w:sz w:val="20"/>
                            <w:szCs w:val="20"/>
                          </w:rPr>
                        </w:pPr>
                      </w:p>
                    </w:tc>
                    <w:tc>
                      <w:tcPr>
                        <w:tcW w:w="8700" w:type="dxa"/>
                        <w:vAlign w:val="center"/>
                        <w:hideMark/>
                      </w:tcPr>
                      <w:p w14:paraId="24545261" w14:textId="77777777" w:rsidR="000B00D8" w:rsidRDefault="000B00D8">
                        <w:pPr>
                          <w:rPr>
                            <w:rFonts w:ascii="Times New Roman" w:eastAsia="Times New Roman" w:hAnsi="Times New Roman" w:cs="Times New Roman"/>
                            <w:sz w:val="20"/>
                            <w:szCs w:val="20"/>
                          </w:rPr>
                        </w:pPr>
                      </w:p>
                    </w:tc>
                    <w:tc>
                      <w:tcPr>
                        <w:tcW w:w="150" w:type="dxa"/>
                        <w:vAlign w:val="center"/>
                        <w:hideMark/>
                      </w:tcPr>
                      <w:p w14:paraId="51E92642" w14:textId="77777777" w:rsidR="000B00D8" w:rsidRDefault="000B00D8">
                        <w:pPr>
                          <w:rPr>
                            <w:rFonts w:ascii="Times New Roman" w:eastAsia="Times New Roman" w:hAnsi="Times New Roman" w:cs="Times New Roman"/>
                            <w:sz w:val="20"/>
                            <w:szCs w:val="20"/>
                          </w:rPr>
                        </w:pPr>
                      </w:p>
                    </w:tc>
                  </w:tr>
                </w:tbl>
                <w:p w14:paraId="1F151187" w14:textId="77777777" w:rsidR="000B00D8" w:rsidRDefault="000B00D8">
                  <w:pPr>
                    <w:jc w:val="center"/>
                    <w:rPr>
                      <w:rFonts w:ascii="Times New Roman" w:eastAsia="Times New Roman" w:hAnsi="Times New Roman" w:cs="Times New Roman"/>
                      <w:sz w:val="20"/>
                      <w:szCs w:val="20"/>
                    </w:rPr>
                  </w:pPr>
                </w:p>
              </w:tc>
            </w:tr>
          </w:tbl>
          <w:p w14:paraId="022E5931" w14:textId="77777777" w:rsidR="000B00D8" w:rsidRDefault="000B00D8">
            <w:pPr>
              <w:jc w:val="center"/>
              <w:rPr>
                <w:rFonts w:ascii="Times New Roman" w:eastAsia="Times New Roman" w:hAnsi="Times New Roman" w:cs="Times New Roman"/>
                <w:sz w:val="20"/>
                <w:szCs w:val="20"/>
              </w:rPr>
            </w:pPr>
          </w:p>
        </w:tc>
      </w:tr>
      <w:tr w:rsidR="000B00D8" w14:paraId="05CC648B" w14:textId="77777777" w:rsidTr="000B00D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B00D8" w14:paraId="4E1CA51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B00D8" w14:paraId="481204EC" w14:textId="77777777">
                    <w:trPr>
                      <w:tblCellSpacing w:w="0" w:type="dxa"/>
                      <w:jc w:val="center"/>
                    </w:trPr>
                    <w:tc>
                      <w:tcPr>
                        <w:tcW w:w="3000" w:type="dxa"/>
                        <w:tcMar>
                          <w:top w:w="30" w:type="dxa"/>
                          <w:left w:w="75" w:type="dxa"/>
                          <w:bottom w:w="30" w:type="dxa"/>
                          <w:right w:w="75" w:type="dxa"/>
                        </w:tcMar>
                        <w:hideMark/>
                      </w:tcPr>
                      <w:p w14:paraId="41D5018D" w14:textId="77777777" w:rsidR="000B00D8" w:rsidRDefault="000B00D8">
                        <w:pPr>
                          <w:pStyle w:val="Heading4"/>
                          <w:jc w:val="center"/>
                          <w:rPr>
                            <w:rFonts w:eastAsia="Times New Roman"/>
                          </w:rPr>
                        </w:pPr>
                        <w:r>
                          <w:rPr>
                            <w:rFonts w:eastAsia="Times New Roman"/>
                          </w:rPr>
                          <w:lastRenderedPageBreak/>
                          <w:t>Pharmaceutical Services Negotiating Committee</w:t>
                        </w:r>
                      </w:p>
                      <w:p w14:paraId="23A959C9" w14:textId="38144A76" w:rsidR="000B00D8" w:rsidRDefault="000B00D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130595A" wp14:editId="61B356C2">
                              <wp:extent cx="605790" cy="308610"/>
                              <wp:effectExtent l="0" t="0" r="3810" b="1524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E0AE61" wp14:editId="080D0FBC">
                              <wp:extent cx="605790" cy="308610"/>
                              <wp:effectExtent l="0" t="0" r="3810" b="1524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8EB387" wp14:editId="38E8FECA">
                              <wp:extent cx="605790" cy="308610"/>
                              <wp:effectExtent l="0" t="0" r="3810" b="1524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8A184A" wp14:editId="602B9B3F">
                              <wp:extent cx="605790" cy="308610"/>
                              <wp:effectExtent l="0" t="0" r="3810" b="1524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2E64C83" w14:textId="77777777" w:rsidR="000B00D8" w:rsidRDefault="000B00D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B00D8" w14:paraId="0276FD40" w14:textId="77777777" w:rsidTr="000B00D8">
                    <w:trPr>
                      <w:trHeight w:val="21"/>
                      <w:tblCellSpacing w:w="0" w:type="dxa"/>
                      <w:jc w:val="center"/>
                    </w:trPr>
                    <w:tc>
                      <w:tcPr>
                        <w:tcW w:w="9000" w:type="dxa"/>
                        <w:tcMar>
                          <w:top w:w="150" w:type="dxa"/>
                          <w:left w:w="0" w:type="dxa"/>
                          <w:bottom w:w="0" w:type="dxa"/>
                          <w:right w:w="0" w:type="dxa"/>
                        </w:tcMar>
                        <w:vAlign w:val="center"/>
                        <w:hideMark/>
                      </w:tcPr>
                      <w:p w14:paraId="7653A893" w14:textId="3A159AEE" w:rsidR="000B00D8" w:rsidRDefault="000B00D8" w:rsidP="000B00D8">
                        <w:pPr>
                          <w:rPr>
                            <w:rFonts w:ascii="Arial" w:eastAsia="Times New Roman" w:hAnsi="Arial" w:cs="Arial"/>
                            <w:color w:val="FFFFFF"/>
                            <w:sz w:val="17"/>
                            <w:szCs w:val="17"/>
                          </w:rPr>
                        </w:pPr>
                      </w:p>
                    </w:tc>
                  </w:tr>
                </w:tbl>
                <w:p w14:paraId="29DE3ED1" w14:textId="77777777" w:rsidR="000B00D8" w:rsidRDefault="000B00D8">
                  <w:pPr>
                    <w:jc w:val="center"/>
                    <w:rPr>
                      <w:rFonts w:ascii="Times New Roman" w:eastAsia="Times New Roman" w:hAnsi="Times New Roman" w:cs="Times New Roman"/>
                      <w:sz w:val="20"/>
                      <w:szCs w:val="20"/>
                    </w:rPr>
                  </w:pPr>
                </w:p>
              </w:tc>
            </w:tr>
          </w:tbl>
          <w:p w14:paraId="3BF6CABC" w14:textId="77777777" w:rsidR="000B00D8" w:rsidRDefault="000B00D8">
            <w:pPr>
              <w:jc w:val="center"/>
              <w:rPr>
                <w:rFonts w:ascii="Times New Roman" w:eastAsia="Times New Roman" w:hAnsi="Times New Roman" w:cs="Times New Roman"/>
                <w:sz w:val="20"/>
                <w:szCs w:val="20"/>
              </w:rPr>
            </w:pPr>
          </w:p>
        </w:tc>
      </w:tr>
    </w:tbl>
    <w:p w14:paraId="0D39DE99" w14:textId="3DDB634A" w:rsidR="000B00D8" w:rsidRDefault="000B00D8" w:rsidP="000B00D8">
      <w:pPr>
        <w:rPr>
          <w:rFonts w:eastAsia="Times New Roman"/>
        </w:rPr>
      </w:pPr>
      <w:r>
        <w:rPr>
          <w:rFonts w:eastAsia="Times New Roman"/>
          <w:noProof/>
        </w:rPr>
        <w:drawing>
          <wp:inline distT="0" distB="0" distL="0" distR="0" wp14:anchorId="79D284FA" wp14:editId="6FAF945B">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F46716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D8"/>
    <w:rsid w:val="000B00D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CACB"/>
  <w15:chartTrackingRefBased/>
  <w15:docId w15:val="{83493B6A-4D92-4E73-B6ED-C436100D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D8"/>
    <w:rPr>
      <w:rFonts w:ascii="Calibri" w:hAnsi="Calibri" w:cs="Calibri"/>
      <w:lang w:eastAsia="en-GB"/>
    </w:rPr>
  </w:style>
  <w:style w:type="paragraph" w:styleId="Heading1">
    <w:name w:val="heading 1"/>
    <w:basedOn w:val="Normal"/>
    <w:link w:val="Heading1Char"/>
    <w:uiPriority w:val="9"/>
    <w:qFormat/>
    <w:rsid w:val="000B00D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B00D8"/>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B00D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0D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B00D8"/>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B00D8"/>
    <w:rPr>
      <w:rFonts w:ascii="Tahoma" w:hAnsi="Tahoma" w:cs="Tahoma"/>
      <w:b/>
      <w:bCs/>
      <w:color w:val="FFFFFF"/>
      <w:sz w:val="18"/>
      <w:szCs w:val="18"/>
      <w:lang w:eastAsia="en-GB"/>
    </w:rPr>
  </w:style>
  <w:style w:type="paragraph" w:styleId="NormalWeb">
    <w:name w:val="Normal (Web)"/>
    <w:basedOn w:val="Normal"/>
    <w:uiPriority w:val="99"/>
    <w:semiHidden/>
    <w:unhideWhenUsed/>
    <w:rsid w:val="000B00D8"/>
    <w:pPr>
      <w:spacing w:before="100" w:beforeAutospacing="1" w:after="100" w:afterAutospacing="1"/>
    </w:pPr>
  </w:style>
  <w:style w:type="character" w:styleId="Strong">
    <w:name w:val="Strong"/>
    <w:basedOn w:val="DefaultParagraphFont"/>
    <w:uiPriority w:val="22"/>
    <w:qFormat/>
    <w:rsid w:val="000B00D8"/>
    <w:rPr>
      <w:b/>
      <w:bCs/>
    </w:rPr>
  </w:style>
  <w:style w:type="character" w:styleId="Hyperlink">
    <w:name w:val="Hyperlink"/>
    <w:basedOn w:val="DefaultParagraphFont"/>
    <w:uiPriority w:val="99"/>
    <w:semiHidden/>
    <w:unhideWhenUsed/>
    <w:rsid w:val="000B0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8d9bb2d5b&amp;e=d19e9fd41c" TargetMode="External"/><Relationship Id="rId13" Type="http://schemas.openxmlformats.org/officeDocument/2006/relationships/hyperlink" Target="https://psnc.us7.list-manage.com/track/click?u=86d41ab7fa4c7c2c5d7210782&amp;id=4802875196&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1c7e79869&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24c1daace&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bd7b11c8c&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d5df8a0f9e&amp;e=d19e9fd41c" TargetMode="External"/><Relationship Id="rId19" Type="http://schemas.openxmlformats.org/officeDocument/2006/relationships/hyperlink" Target="https://psnc.us7.list-manage.com/track/click?u=86d41ab7fa4c7c2c5d7210782&amp;id=76d94f44f8&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13e4edbdb&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d3e3f139e6&amp;e=d19e9fd41c" TargetMode="External"/><Relationship Id="rId27" Type="http://schemas.openxmlformats.org/officeDocument/2006/relationships/image" Target="https://psnc.us7.list-manage.com/track/open.php?u=86d41ab7fa4c7c2c5d7210782&amp;id=1695b01616&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2022-06-23T07:42:00Z</dcterms:created>
  <dcterms:modified xsi:type="dcterms:W3CDTF">2022-06-23T07:44:00Z</dcterms:modified>
</cp:coreProperties>
</file>