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26"/>
      </w:tblGrid>
      <w:tr w:rsidR="003E6AA5" w14:paraId="17710054" w14:textId="77777777" w:rsidTr="003E6AA5">
        <w:trPr>
          <w:tblCellSpacing w:w="0" w:type="dxa"/>
          <w:jc w:val="center"/>
        </w:trPr>
        <w:tc>
          <w:tcPr>
            <w:tcW w:w="0" w:type="auto"/>
            <w:shd w:val="clear" w:color="auto" w:fill="FFFFFF"/>
          </w:tcPr>
          <w:tbl>
            <w:tblPr>
              <w:tblW w:w="9026" w:type="dxa"/>
              <w:jc w:val="center"/>
              <w:tblCellSpacing w:w="0" w:type="dxa"/>
              <w:shd w:val="clear" w:color="auto" w:fill="4E3487"/>
              <w:tblCellMar>
                <w:left w:w="0" w:type="dxa"/>
                <w:right w:w="0" w:type="dxa"/>
              </w:tblCellMar>
              <w:tblLook w:val="04A0" w:firstRow="1" w:lastRow="0" w:firstColumn="1" w:lastColumn="0" w:noHBand="0" w:noVBand="1"/>
            </w:tblPr>
            <w:tblGrid>
              <w:gridCol w:w="9000"/>
              <w:gridCol w:w="26"/>
            </w:tblGrid>
            <w:tr w:rsidR="003E6AA5" w14:paraId="304764AB" w14:textId="77777777" w:rsidTr="00C57723">
              <w:trPr>
                <w:gridAfter w:val="1"/>
                <w:wAfter w:w="26" w:type="dxa"/>
                <w:tblCellSpacing w:w="0" w:type="dxa"/>
                <w:jc w:val="center"/>
              </w:trPr>
              <w:tc>
                <w:tcPr>
                  <w:tcW w:w="0" w:type="auto"/>
                  <w:shd w:val="clear" w:color="auto" w:fill="4E3487"/>
                  <w:hideMark/>
                </w:tcPr>
                <w:tbl>
                  <w:tblPr>
                    <w:tblW w:w="9000" w:type="dxa"/>
                    <w:jc w:val="center"/>
                    <w:tblCellSpacing w:w="0" w:type="dxa"/>
                    <w:tblCellMar>
                      <w:top w:w="30" w:type="dxa"/>
                      <w:left w:w="30" w:type="dxa"/>
                      <w:bottom w:w="30" w:type="dxa"/>
                      <w:right w:w="30" w:type="dxa"/>
                    </w:tblCellMar>
                    <w:tblLook w:val="04A0" w:firstRow="1" w:lastRow="0" w:firstColumn="1" w:lastColumn="0" w:noHBand="0" w:noVBand="1"/>
                  </w:tblPr>
                  <w:tblGrid>
                    <w:gridCol w:w="9000"/>
                  </w:tblGrid>
                  <w:tr w:rsidR="003E6AA5" w14:paraId="20FF6B88" w14:textId="77777777">
                    <w:trPr>
                      <w:tblCellSpacing w:w="0" w:type="dxa"/>
                      <w:jc w:val="center"/>
                    </w:trPr>
                    <w:tc>
                      <w:tcPr>
                        <w:tcW w:w="3000" w:type="dxa"/>
                        <w:hideMark/>
                      </w:tcPr>
                      <w:p w14:paraId="6865B5E1" w14:textId="3487DAAC" w:rsidR="003E6AA5" w:rsidRDefault="00C57723">
                        <w:pPr>
                          <w:spacing w:line="264" w:lineRule="auto"/>
                          <w:jc w:val="center"/>
                          <w:rPr>
                            <w:rFonts w:ascii="Tahoma" w:eastAsia="Times New Roman" w:hAnsi="Tahoma" w:cs="Tahoma"/>
                            <w:color w:val="FFFFFF"/>
                            <w:sz w:val="17"/>
                            <w:szCs w:val="17"/>
                          </w:rPr>
                        </w:pPr>
                        <w:r>
                          <w:rPr>
                            <w:rFonts w:ascii="Tahoma" w:eastAsia="Times New Roman" w:hAnsi="Tahoma" w:cs="Tahoma"/>
                            <w:color w:val="FFFFFF"/>
                            <w:sz w:val="17"/>
                            <w:szCs w:val="17"/>
                          </w:rPr>
                          <w:t xml:space="preserve"> </w:t>
                        </w:r>
                      </w:p>
                    </w:tc>
                  </w:tr>
                </w:tbl>
                <w:p w14:paraId="01CCFE60" w14:textId="77777777" w:rsidR="003E6AA5" w:rsidRDefault="003E6AA5">
                  <w:pPr>
                    <w:jc w:val="center"/>
                    <w:rPr>
                      <w:rFonts w:ascii="Times New Roman" w:eastAsia="Times New Roman" w:hAnsi="Times New Roman" w:cs="Times New Roman"/>
                      <w:sz w:val="20"/>
                      <w:szCs w:val="20"/>
                    </w:rPr>
                  </w:pPr>
                </w:p>
              </w:tc>
            </w:tr>
            <w:tr w:rsidR="003E6AA5" w14:paraId="2DBD49E6" w14:textId="77777777" w:rsidTr="00C57723">
              <w:tblPrEx>
                <w:shd w:val="clear" w:color="auto" w:fill="auto"/>
              </w:tblPrEx>
              <w:trPr>
                <w:tblCellSpacing w:w="0" w:type="dxa"/>
                <w:jc w:val="center"/>
              </w:trPr>
              <w:tc>
                <w:tcPr>
                  <w:tcW w:w="0" w:type="auto"/>
                  <w:gridSpan w:val="2"/>
                  <w:shd w:val="clear" w:color="auto" w:fill="FFFFFF"/>
                  <w:hideMark/>
                </w:tcPr>
                <w:tbl>
                  <w:tblPr>
                    <w:tblW w:w="9000" w:type="dxa"/>
                    <w:tblCellSpacing w:w="0" w:type="dxa"/>
                    <w:tblBorders>
                      <w:top w:val="single" w:sz="2" w:space="0" w:color="FFFFFF"/>
                      <w:left w:val="single" w:sz="2" w:space="0" w:color="FFFFFF"/>
                      <w:bottom w:val="single" w:sz="2" w:space="0" w:color="FFFFFF"/>
                      <w:right w:val="single" w:sz="2" w:space="0" w:color="FFFFFF"/>
                    </w:tblBorders>
                    <w:tblCellMar>
                      <w:left w:w="0" w:type="dxa"/>
                      <w:right w:w="0" w:type="dxa"/>
                    </w:tblCellMar>
                    <w:tblLook w:val="04A0" w:firstRow="1" w:lastRow="0" w:firstColumn="1" w:lastColumn="0" w:noHBand="0" w:noVBand="1"/>
                  </w:tblPr>
                  <w:tblGrid>
                    <w:gridCol w:w="3951"/>
                    <w:gridCol w:w="5049"/>
                  </w:tblGrid>
                  <w:tr w:rsidR="003E6AA5" w14:paraId="4F6F9829" w14:textId="77777777">
                    <w:trPr>
                      <w:gridAfter w:val="1"/>
                      <w:wAfter w:w="3450" w:type="dxa"/>
                      <w:trHeight w:val="230"/>
                      <w:tblCellSpacing w:w="0" w:type="dxa"/>
                    </w:trPr>
                    <w:tc>
                      <w:tcPr>
                        <w:tcW w:w="2700" w:type="dxa"/>
                        <w:vMerge w:val="restart"/>
                        <w:tcBorders>
                          <w:top w:val="nil"/>
                          <w:left w:val="nil"/>
                          <w:bottom w:val="single" w:sz="2" w:space="0" w:color="FFFFFF"/>
                          <w:right w:val="nil"/>
                        </w:tcBorders>
                        <w:vAlign w:val="center"/>
                        <w:hideMark/>
                      </w:tcPr>
                      <w:p w14:paraId="66B88267" w14:textId="0CB52A3E" w:rsidR="003E6AA5" w:rsidRDefault="003E6AA5">
                        <w:pPr>
                          <w:jc w:val="center"/>
                          <w:rPr>
                            <w:rFonts w:eastAsia="Times New Roman"/>
                          </w:rPr>
                        </w:pPr>
                        <w:r>
                          <w:rPr>
                            <w:rFonts w:eastAsia="Times New Roman"/>
                            <w:noProof/>
                          </w:rPr>
                          <w:drawing>
                            <wp:inline distT="0" distB="0" distL="0" distR="0" wp14:anchorId="50DDB341" wp14:editId="67002C6C">
                              <wp:extent cx="935355" cy="669925"/>
                              <wp:effectExtent l="0" t="0" r="17145" b="1587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935355" cy="669925"/>
                                      </a:xfrm>
                                      <a:prstGeom prst="rect">
                                        <a:avLst/>
                                      </a:prstGeom>
                                      <a:noFill/>
                                      <a:ln>
                                        <a:noFill/>
                                      </a:ln>
                                    </pic:spPr>
                                  </pic:pic>
                                </a:graphicData>
                              </a:graphic>
                            </wp:inline>
                          </w:drawing>
                        </w:r>
                      </w:p>
                    </w:tc>
                  </w:tr>
                  <w:tr w:rsidR="003E6AA5" w14:paraId="6177C476" w14:textId="77777777">
                    <w:trPr>
                      <w:tblCellSpacing w:w="0" w:type="dxa"/>
                    </w:trPr>
                    <w:tc>
                      <w:tcPr>
                        <w:tcW w:w="0" w:type="auto"/>
                        <w:vMerge/>
                        <w:tcBorders>
                          <w:top w:val="nil"/>
                          <w:left w:val="nil"/>
                          <w:bottom w:val="single" w:sz="2" w:space="0" w:color="FFFFFF"/>
                          <w:right w:val="nil"/>
                        </w:tcBorders>
                        <w:vAlign w:val="center"/>
                        <w:hideMark/>
                      </w:tcPr>
                      <w:p w14:paraId="072D4892" w14:textId="77777777" w:rsidR="003E6AA5" w:rsidRDefault="003E6AA5">
                        <w:pPr>
                          <w:rPr>
                            <w:rFonts w:eastAsia="Times New Roman"/>
                          </w:rPr>
                        </w:pPr>
                      </w:p>
                    </w:tc>
                    <w:tc>
                      <w:tcPr>
                        <w:tcW w:w="3450" w:type="dxa"/>
                        <w:tcBorders>
                          <w:top w:val="nil"/>
                          <w:left w:val="nil"/>
                          <w:bottom w:val="nil"/>
                          <w:right w:val="nil"/>
                        </w:tcBorders>
                        <w:vAlign w:val="center"/>
                        <w:hideMark/>
                      </w:tcPr>
                      <w:p w14:paraId="6F45BD30" w14:textId="77777777" w:rsidR="003E6AA5" w:rsidRDefault="003E6AA5">
                        <w:pPr>
                          <w:pStyle w:val="Heading1"/>
                          <w:rPr>
                            <w:rFonts w:eastAsia="Times New Roman"/>
                          </w:rPr>
                        </w:pPr>
                        <w:r>
                          <w:rPr>
                            <w:rFonts w:eastAsia="Times New Roman"/>
                          </w:rPr>
                          <w:t>PSNC Newsletter</w:t>
                        </w:r>
                      </w:p>
                    </w:tc>
                  </w:tr>
                  <w:tr w:rsidR="003E6AA5" w14:paraId="638A4EAC" w14:textId="77777777">
                    <w:trPr>
                      <w:tblCellSpacing w:w="0" w:type="dxa"/>
                    </w:trPr>
                    <w:tc>
                      <w:tcPr>
                        <w:tcW w:w="0" w:type="auto"/>
                        <w:vMerge/>
                        <w:tcBorders>
                          <w:top w:val="nil"/>
                          <w:left w:val="nil"/>
                          <w:bottom w:val="single" w:sz="2" w:space="0" w:color="FFFFFF"/>
                          <w:right w:val="nil"/>
                        </w:tcBorders>
                        <w:vAlign w:val="center"/>
                        <w:hideMark/>
                      </w:tcPr>
                      <w:p w14:paraId="4AB8BD9B" w14:textId="77777777" w:rsidR="003E6AA5" w:rsidRDefault="003E6AA5">
                        <w:pPr>
                          <w:rPr>
                            <w:rFonts w:eastAsia="Times New Roman"/>
                          </w:rPr>
                        </w:pPr>
                      </w:p>
                    </w:tc>
                    <w:tc>
                      <w:tcPr>
                        <w:tcW w:w="3450" w:type="dxa"/>
                        <w:tcBorders>
                          <w:top w:val="nil"/>
                          <w:left w:val="nil"/>
                          <w:bottom w:val="nil"/>
                          <w:right w:val="nil"/>
                        </w:tcBorders>
                        <w:tcMar>
                          <w:top w:w="30" w:type="dxa"/>
                          <w:left w:w="0" w:type="dxa"/>
                          <w:bottom w:w="30" w:type="dxa"/>
                          <w:right w:w="0" w:type="dxa"/>
                        </w:tcMar>
                        <w:vAlign w:val="center"/>
                        <w:hideMark/>
                      </w:tcPr>
                      <w:p w14:paraId="2C4EBBE0" w14:textId="77777777" w:rsidR="003E6AA5" w:rsidRDefault="003E6AA5">
                        <w:pPr>
                          <w:pStyle w:val="Heading2"/>
                          <w:rPr>
                            <w:rFonts w:eastAsia="Times New Roman"/>
                            <w:color w:val="93378A"/>
                          </w:rPr>
                        </w:pPr>
                        <w:r>
                          <w:rPr>
                            <w:rFonts w:eastAsia="Times New Roman"/>
                            <w:color w:val="93378A"/>
                          </w:rPr>
                          <w:t>Friday 17th June 2022</w:t>
                        </w:r>
                      </w:p>
                    </w:tc>
                  </w:tr>
                </w:tbl>
                <w:p w14:paraId="4BF91591" w14:textId="77777777" w:rsidR="003E6AA5" w:rsidRDefault="003E6AA5">
                  <w:pPr>
                    <w:rPr>
                      <w:rFonts w:ascii="Times New Roman" w:eastAsia="Times New Roman" w:hAnsi="Times New Roman" w:cs="Times New Roman"/>
                      <w:sz w:val="20"/>
                      <w:szCs w:val="20"/>
                    </w:rPr>
                  </w:pPr>
                </w:p>
              </w:tc>
            </w:tr>
            <w:tr w:rsidR="003E6AA5" w14:paraId="1C3287C7" w14:textId="77777777" w:rsidTr="00C57723">
              <w:tblPrEx>
                <w:shd w:val="clear" w:color="auto" w:fill="auto"/>
              </w:tblPrEx>
              <w:trPr>
                <w:tblCellSpacing w:w="0" w:type="dxa"/>
                <w:jc w:val="center"/>
              </w:trPr>
              <w:tc>
                <w:tcPr>
                  <w:tcW w:w="9026" w:type="dxa"/>
                  <w:gridSpan w:val="2"/>
                  <w:hideMark/>
                </w:tcPr>
                <w:p w14:paraId="51C8B773" w14:textId="6AAC521E" w:rsidR="003E6AA5" w:rsidRDefault="003E6AA5">
                  <w:pPr>
                    <w:rPr>
                      <w:rFonts w:eastAsia="Times New Roman"/>
                    </w:rPr>
                  </w:pPr>
                  <w:r>
                    <w:rPr>
                      <w:rFonts w:eastAsia="Times New Roman"/>
                      <w:noProof/>
                    </w:rPr>
                    <w:drawing>
                      <wp:inline distT="0" distB="0" distL="0" distR="0" wp14:anchorId="6432AAF7" wp14:editId="3C60DA87">
                        <wp:extent cx="5720080" cy="212725"/>
                        <wp:effectExtent l="0" t="0" r="13970" b="158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5720080" cy="212725"/>
                                </a:xfrm>
                                <a:prstGeom prst="rect">
                                  <a:avLst/>
                                </a:prstGeom>
                                <a:noFill/>
                                <a:ln>
                                  <a:noFill/>
                                </a:ln>
                              </pic:spPr>
                            </pic:pic>
                          </a:graphicData>
                        </a:graphic>
                      </wp:inline>
                    </w:drawing>
                  </w:r>
                </w:p>
              </w:tc>
            </w:tr>
            <w:tr w:rsidR="003E6AA5" w14:paraId="0009FDCD" w14:textId="77777777" w:rsidTr="00C57723">
              <w:tblPrEx>
                <w:shd w:val="clear" w:color="auto" w:fill="auto"/>
              </w:tblPrEx>
              <w:trPr>
                <w:tblCellSpacing w:w="0" w:type="dxa"/>
                <w:jc w:val="center"/>
              </w:trPr>
              <w:tc>
                <w:tcPr>
                  <w:tcW w:w="9026" w:type="dxa"/>
                  <w:gridSpan w:val="2"/>
                  <w:hideMark/>
                </w:tcPr>
                <w:tbl>
                  <w:tblPr>
                    <w:tblW w:w="9000" w:type="dxa"/>
                    <w:jc w:val="center"/>
                    <w:tblCellSpacing w:w="15" w:type="dxa"/>
                    <w:tblCellMar>
                      <w:left w:w="0" w:type="dxa"/>
                      <w:right w:w="0" w:type="dxa"/>
                    </w:tblCellMar>
                    <w:tblLook w:val="04A0" w:firstRow="1" w:lastRow="0" w:firstColumn="1" w:lastColumn="0" w:noHBand="0" w:noVBand="1"/>
                  </w:tblPr>
                  <w:tblGrid>
                    <w:gridCol w:w="193"/>
                    <w:gridCol w:w="8615"/>
                    <w:gridCol w:w="192"/>
                  </w:tblGrid>
                  <w:tr w:rsidR="003E6AA5" w14:paraId="2268AC4D" w14:textId="77777777">
                    <w:trPr>
                      <w:trHeight w:val="150"/>
                      <w:tblCellSpacing w:w="15" w:type="dxa"/>
                      <w:jc w:val="center"/>
                    </w:trPr>
                    <w:tc>
                      <w:tcPr>
                        <w:tcW w:w="150" w:type="dxa"/>
                        <w:vAlign w:val="center"/>
                        <w:hideMark/>
                      </w:tcPr>
                      <w:p w14:paraId="598F9E54" w14:textId="77777777" w:rsidR="003E6AA5" w:rsidRDefault="003E6AA5">
                        <w:pPr>
                          <w:rPr>
                            <w:rFonts w:eastAsia="Times New Roman"/>
                          </w:rPr>
                        </w:pPr>
                      </w:p>
                    </w:tc>
                    <w:tc>
                      <w:tcPr>
                        <w:tcW w:w="8700" w:type="dxa"/>
                        <w:vAlign w:val="center"/>
                        <w:hideMark/>
                      </w:tcPr>
                      <w:p w14:paraId="75B9EFD4" w14:textId="77777777" w:rsidR="003E6AA5" w:rsidRDefault="003E6AA5">
                        <w:pPr>
                          <w:rPr>
                            <w:rFonts w:ascii="Times New Roman" w:eastAsia="Times New Roman" w:hAnsi="Times New Roman" w:cs="Times New Roman"/>
                            <w:sz w:val="20"/>
                            <w:szCs w:val="20"/>
                          </w:rPr>
                        </w:pPr>
                      </w:p>
                    </w:tc>
                    <w:tc>
                      <w:tcPr>
                        <w:tcW w:w="150" w:type="dxa"/>
                        <w:vAlign w:val="center"/>
                        <w:hideMark/>
                      </w:tcPr>
                      <w:p w14:paraId="793286C2" w14:textId="77777777" w:rsidR="003E6AA5" w:rsidRDefault="003E6AA5">
                        <w:pPr>
                          <w:rPr>
                            <w:rFonts w:ascii="Times New Roman" w:eastAsia="Times New Roman" w:hAnsi="Times New Roman" w:cs="Times New Roman"/>
                            <w:sz w:val="20"/>
                            <w:szCs w:val="20"/>
                          </w:rPr>
                        </w:pPr>
                      </w:p>
                    </w:tc>
                  </w:tr>
                  <w:tr w:rsidR="003E6AA5" w14:paraId="60CE0122" w14:textId="77777777">
                    <w:trPr>
                      <w:tblCellSpacing w:w="15" w:type="dxa"/>
                      <w:jc w:val="center"/>
                    </w:trPr>
                    <w:tc>
                      <w:tcPr>
                        <w:tcW w:w="150" w:type="dxa"/>
                        <w:vAlign w:val="center"/>
                        <w:hideMark/>
                      </w:tcPr>
                      <w:p w14:paraId="24A6C823" w14:textId="77777777" w:rsidR="003E6AA5" w:rsidRDefault="003E6AA5">
                        <w:pPr>
                          <w:rPr>
                            <w:rFonts w:ascii="Times New Roman" w:eastAsia="Times New Roman" w:hAnsi="Times New Roman" w:cs="Times New Roman"/>
                            <w:sz w:val="20"/>
                            <w:szCs w:val="20"/>
                          </w:rPr>
                        </w:pPr>
                      </w:p>
                    </w:tc>
                    <w:tc>
                      <w:tcPr>
                        <w:tcW w:w="8700" w:type="dxa"/>
                        <w:vAlign w:val="center"/>
                        <w:hideMark/>
                      </w:tcPr>
                      <w:p w14:paraId="2D58A91A" w14:textId="77777777" w:rsidR="003E6AA5" w:rsidRDefault="003E6AA5">
                        <w:pPr>
                          <w:spacing w:line="264" w:lineRule="auto"/>
                          <w:jc w:val="both"/>
                          <w:rPr>
                            <w:rFonts w:ascii="Tahoma" w:eastAsia="Times New Roman" w:hAnsi="Tahoma" w:cs="Tahoma"/>
                            <w:color w:val="303030"/>
                            <w:sz w:val="21"/>
                            <w:szCs w:val="21"/>
                          </w:rPr>
                        </w:pPr>
                        <w:r>
                          <w:rPr>
                            <w:rFonts w:ascii="Tahoma" w:eastAsia="Times New Roman" w:hAnsi="Tahoma" w:cs="Tahoma"/>
                            <w:color w:val="303030"/>
                            <w:sz w:val="21"/>
                            <w:szCs w:val="21"/>
                          </w:rPr>
                          <w:t>This newsletter from PSNC is sent on Mondays, Wednesdays and Fridays. It contains important information for those that work in the community pharmacy sector.</w:t>
                        </w:r>
                      </w:p>
                      <w:p w14:paraId="3D5C21BD" w14:textId="77777777" w:rsidR="003E6AA5" w:rsidRDefault="003E6AA5">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06D5A438">
                            <v:rect id="_x0000_i1032" style="width:468pt;height:1.5pt" o:hralign="center" o:hrstd="t" o:hr="t" fillcolor="#a0a0a0" stroked="f"/>
                          </w:pict>
                        </w:r>
                      </w:p>
                      <w:p w14:paraId="12871A97" w14:textId="06508120" w:rsidR="003E6AA5" w:rsidRDefault="003E6AA5">
                        <w:pPr>
                          <w:pStyle w:val="Heading2"/>
                          <w:rPr>
                            <w:rFonts w:eastAsia="Times New Roman"/>
                          </w:rPr>
                        </w:pPr>
                        <w:r>
                          <w:rPr>
                            <w:rFonts w:eastAsia="Times New Roman"/>
                          </w:rPr>
                          <w:t>In this update: Launch of new PSNC website; NHSE&amp;I safeguarding webinar; new CPCS IT suppliers.</w:t>
                        </w:r>
                      </w:p>
                      <w:p w14:paraId="6413DEE8" w14:textId="77777777" w:rsidR="003E6AA5" w:rsidRDefault="003E6AA5">
                        <w:pPr>
                          <w:spacing w:line="264" w:lineRule="auto"/>
                          <w:jc w:val="center"/>
                          <w:rPr>
                            <w:rFonts w:ascii="Tahoma" w:eastAsia="Times New Roman" w:hAnsi="Tahoma" w:cs="Tahoma"/>
                            <w:color w:val="303030"/>
                            <w:sz w:val="21"/>
                            <w:szCs w:val="21"/>
                          </w:rPr>
                        </w:pPr>
                        <w:r>
                          <w:rPr>
                            <w:rFonts w:ascii="Tahoma" w:eastAsia="Times New Roman" w:hAnsi="Tahoma" w:cs="Tahoma"/>
                            <w:color w:val="303030"/>
                            <w:sz w:val="21"/>
                            <w:szCs w:val="21"/>
                          </w:rPr>
                          <w:pict w14:anchorId="4D09ADB1">
                            <v:rect id="_x0000_i1033" style="width:468pt;height:1.5pt" o:hralign="center" o:hrstd="t" o:hr="t" fillcolor="#a0a0a0" stroked="f"/>
                          </w:pict>
                        </w:r>
                      </w:p>
                      <w:p w14:paraId="695B5221" w14:textId="77777777" w:rsidR="003E6AA5" w:rsidRDefault="003E6AA5" w:rsidP="003E6AA5">
                        <w:pPr>
                          <w:pStyle w:val="Heading2"/>
                          <w:spacing w:after="0"/>
                          <w:rPr>
                            <w:rFonts w:eastAsia="Times New Roman"/>
                          </w:rPr>
                        </w:pPr>
                        <w:r>
                          <w:rPr>
                            <w:rFonts w:eastAsia="Times New Roman"/>
                          </w:rPr>
                          <w:t>Introducing the new PSNC website</w:t>
                        </w:r>
                      </w:p>
                      <w:p w14:paraId="6F6AB2BF" w14:textId="4C34784F" w:rsidR="003E6AA5" w:rsidRDefault="003E6AA5" w:rsidP="003E6AA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We are pleased to welcome visitors to a new and improved PSNC website. </w:t>
                        </w:r>
                      </w:p>
                      <w:p w14:paraId="23F10983" w14:textId="275A0858" w:rsidR="003E6AA5" w:rsidRPr="00213C0D" w:rsidRDefault="003E6AA5" w:rsidP="00213C0D">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Following a period of user testing, our new website has now fully launched. Key improvements include a redesigned, more functional homepage, an improved search function, most popular lists in menus, and a new public-facing area of the website for external stakeholders.</w:t>
                        </w:r>
                        <w:r>
                          <w:rPr>
                            <w:rFonts w:ascii="Tahoma" w:hAnsi="Tahoma" w:cs="Tahoma"/>
                            <w:color w:val="303030"/>
                            <w:sz w:val="21"/>
                            <w:szCs w:val="21"/>
                          </w:rPr>
                          <w:br/>
                        </w:r>
                        <w:r>
                          <w:rPr>
                            <w:rFonts w:ascii="Tahoma" w:hAnsi="Tahoma" w:cs="Tahoma"/>
                            <w:color w:val="303030"/>
                            <w:sz w:val="21"/>
                            <w:szCs w:val="21"/>
                          </w:rPr>
                          <w:br/>
                          <w:t>Following the switchover, we are continuing to work closely with our web developers to monitor the performance of the new website. If you experience any issues accessing information or guidance, please get in touch via </w:t>
                        </w:r>
                        <w:hyperlink r:id="rId9" w:tgtFrame="_blank" w:history="1">
                          <w:r>
                            <w:rPr>
                              <w:rStyle w:val="Strong"/>
                              <w:rFonts w:ascii="Tahoma" w:hAnsi="Tahoma" w:cs="Tahoma"/>
                              <w:color w:val="4E3487"/>
                              <w:sz w:val="21"/>
                              <w:szCs w:val="21"/>
                            </w:rPr>
                            <w:t>info@psnc.org.uk</w:t>
                          </w:r>
                        </w:hyperlink>
                        <w:r>
                          <w:rPr>
                            <w:rFonts w:ascii="Tahoma" w:hAnsi="Tahoma" w:cs="Tahoma"/>
                            <w:color w:val="303030"/>
                            <w:sz w:val="21"/>
                            <w:szCs w:val="21"/>
                          </w:rPr>
                          <w:t> or 0203 1220 810.</w:t>
                        </w:r>
                        <w:r>
                          <w:rPr>
                            <w:rFonts w:ascii="Tahoma" w:hAnsi="Tahoma" w:cs="Tahoma"/>
                            <w:color w:val="303030"/>
                            <w:sz w:val="21"/>
                            <w:szCs w:val="21"/>
                          </w:rPr>
                          <w:br/>
                        </w:r>
                        <w:r>
                          <w:rPr>
                            <w:rFonts w:ascii="Tahoma" w:hAnsi="Tahoma" w:cs="Tahoma"/>
                            <w:color w:val="303030"/>
                            <w:sz w:val="21"/>
                            <w:szCs w:val="21"/>
                          </w:rPr>
                          <w:br/>
                        </w:r>
                        <w:hyperlink r:id="rId10" w:tgtFrame="_blank" w:history="1">
                          <w:r>
                            <w:rPr>
                              <w:rStyle w:val="Hyperlink"/>
                              <w:rFonts w:ascii="Tahoma" w:hAnsi="Tahoma" w:cs="Tahoma"/>
                              <w:b/>
                              <w:bCs/>
                              <w:color w:val="4E3487"/>
                              <w:sz w:val="21"/>
                              <w:szCs w:val="21"/>
                            </w:rPr>
                            <w:t>Find out more</w:t>
                          </w:r>
                        </w:hyperlink>
                      </w:p>
                      <w:p w14:paraId="7106BD21" w14:textId="77777777" w:rsidR="003E6AA5" w:rsidRDefault="003E6AA5" w:rsidP="003E6AA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06D4D607">
                            <v:rect id="_x0000_i1035" style="width:468pt;height:1.5pt" o:hrstd="t" o:hr="t" fillcolor="#a0a0a0" stroked="f"/>
                          </w:pict>
                        </w:r>
                      </w:p>
                      <w:p w14:paraId="2A929353" w14:textId="77777777" w:rsidR="003E6AA5" w:rsidRDefault="003E6AA5" w:rsidP="003E6AA5">
                        <w:pPr>
                          <w:pStyle w:val="Heading2"/>
                          <w:spacing w:after="0"/>
                          <w:rPr>
                            <w:rFonts w:eastAsia="Times New Roman"/>
                          </w:rPr>
                        </w:pPr>
                        <w:r>
                          <w:rPr>
                            <w:rFonts w:eastAsia="Times New Roman"/>
                          </w:rPr>
                          <w:t>NHSE&amp;I Level 3 safeguarding webinar</w:t>
                        </w:r>
                      </w:p>
                      <w:p w14:paraId="542AA633" w14:textId="6AE8D45A" w:rsidR="003E6AA5" w:rsidRDefault="003E6AA5" w:rsidP="003E6AA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The NHS England and NHS improvement (NHSE&amp;I) Community Pharmacy and Safeguarding Teams, supported by PSNC, are hosting a webinar on Level 3 Safeguarding on </w:t>
                        </w:r>
                        <w:r>
                          <w:rPr>
                            <w:rStyle w:val="Strong"/>
                            <w:rFonts w:ascii="Tahoma" w:eastAsia="Times New Roman" w:hAnsi="Tahoma" w:cs="Tahoma"/>
                            <w:color w:val="303030"/>
                            <w:sz w:val="21"/>
                            <w:szCs w:val="21"/>
                          </w:rPr>
                          <w:t>Thursday 30th June, from 7-8pm</w:t>
                        </w:r>
                        <w:r>
                          <w:rPr>
                            <w:rFonts w:ascii="Tahoma" w:eastAsia="Times New Roman" w:hAnsi="Tahoma" w:cs="Tahoma"/>
                            <w:color w:val="303030"/>
                            <w:sz w:val="21"/>
                            <w:szCs w:val="21"/>
                          </w:rPr>
                          <w:t>.</w:t>
                        </w:r>
                        <w:r>
                          <w:rPr>
                            <w:rFonts w:ascii="Tahoma" w:eastAsia="Times New Roman" w:hAnsi="Tahoma" w:cs="Tahoma"/>
                            <w:color w:val="303030"/>
                            <w:sz w:val="21"/>
                            <w:szCs w:val="21"/>
                          </w:rPr>
                          <w:br/>
                        </w:r>
                        <w:r>
                          <w:rPr>
                            <w:rFonts w:ascii="Tahoma" w:eastAsia="Times New Roman" w:hAnsi="Tahoma" w:cs="Tahoma"/>
                            <w:color w:val="303030"/>
                            <w:sz w:val="21"/>
                            <w:szCs w:val="21"/>
                          </w:rPr>
                          <w:br/>
                          <w:t>The webinar will discuss what Level 3 safeguarding involves including spotting the signs of abuse, signposting and making referrals. A panel of pharmacists will also reflect on real life safeguarding examples.</w:t>
                        </w:r>
                        <w:r>
                          <w:rPr>
                            <w:rFonts w:ascii="Tahoma" w:eastAsia="Times New Roman" w:hAnsi="Tahoma" w:cs="Tahoma"/>
                            <w:color w:val="303030"/>
                            <w:sz w:val="21"/>
                            <w:szCs w:val="21"/>
                          </w:rPr>
                          <w:br/>
                        </w:r>
                        <w:r>
                          <w:rPr>
                            <w:rFonts w:ascii="Tahoma" w:eastAsia="Times New Roman" w:hAnsi="Tahoma" w:cs="Tahoma"/>
                            <w:color w:val="303030"/>
                            <w:sz w:val="21"/>
                            <w:szCs w:val="21"/>
                          </w:rPr>
                          <w:br/>
                        </w:r>
                        <w:hyperlink r:id="rId11" w:tgtFrame="_blank" w:history="1">
                          <w:r>
                            <w:rPr>
                              <w:rStyle w:val="Hyperlink"/>
                              <w:rFonts w:ascii="Tahoma" w:eastAsia="Times New Roman" w:hAnsi="Tahoma" w:cs="Tahoma"/>
                              <w:b/>
                              <w:bCs/>
                              <w:color w:val="4E3487"/>
                              <w:sz w:val="21"/>
                              <w:szCs w:val="21"/>
                            </w:rPr>
                            <w:t>Register for the safeguarding webinar</w:t>
                          </w:r>
                        </w:hyperlink>
                        <w:r>
                          <w:rPr>
                            <w:rFonts w:ascii="Tahoma" w:eastAsia="Times New Roman" w:hAnsi="Tahoma" w:cs="Tahoma"/>
                            <w:color w:val="303030"/>
                            <w:sz w:val="21"/>
                            <w:szCs w:val="21"/>
                          </w:rPr>
                          <w:t xml:space="preserve"> </w:t>
                        </w:r>
                      </w:p>
                      <w:p w14:paraId="0336E492" w14:textId="77777777" w:rsidR="003E6AA5" w:rsidRDefault="003E6AA5" w:rsidP="003E6AA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pict w14:anchorId="2E237BC6">
                            <v:rect id="_x0000_i1036" style="width:468pt;height:1.5pt" o:hrstd="t" o:hr="t" fillcolor="#a0a0a0" stroked="f"/>
                          </w:pict>
                        </w:r>
                      </w:p>
                      <w:p w14:paraId="6BEB7A0C" w14:textId="77777777" w:rsidR="003E6AA5" w:rsidRDefault="003E6AA5" w:rsidP="003E6AA5">
                        <w:pPr>
                          <w:pStyle w:val="Heading2"/>
                          <w:spacing w:after="0"/>
                          <w:rPr>
                            <w:rFonts w:eastAsia="Times New Roman"/>
                          </w:rPr>
                        </w:pPr>
                        <w:r>
                          <w:rPr>
                            <w:rFonts w:eastAsia="Times New Roman"/>
                          </w:rPr>
                          <w:t>New suppliers assured to provide CPCS IT solutions</w:t>
                        </w:r>
                      </w:p>
                      <w:p w14:paraId="43B6035D" w14:textId="50410EFD" w:rsidR="003E6AA5" w:rsidRDefault="003E6AA5" w:rsidP="003E6AA5">
                        <w:pPr>
                          <w:spacing w:line="264" w:lineRule="auto"/>
                          <w:rPr>
                            <w:rFonts w:ascii="Tahoma" w:eastAsia="Times New Roman" w:hAnsi="Tahoma" w:cs="Tahoma"/>
                            <w:color w:val="303030"/>
                            <w:sz w:val="21"/>
                            <w:szCs w:val="21"/>
                          </w:rPr>
                        </w:pPr>
                        <w:r>
                          <w:rPr>
                            <w:rFonts w:ascii="Tahoma" w:eastAsia="Times New Roman" w:hAnsi="Tahoma" w:cs="Tahoma"/>
                            <w:color w:val="303030"/>
                            <w:sz w:val="21"/>
                            <w:szCs w:val="21"/>
                          </w:rPr>
                          <w:t xml:space="preserve">Cegedim and Positive Solutions have both now been assured by NHS Digital to provide IT solutions for the Community Pharmacist Consultation Service (CPCS). These new integrated solutions allow clinical services to be streamlined with dispensing activities. </w:t>
                        </w:r>
                      </w:p>
                      <w:p w14:paraId="61DC7CA5" w14:textId="77777777" w:rsidR="00C57723" w:rsidRDefault="00C57723" w:rsidP="003E6AA5">
                        <w:pPr>
                          <w:pStyle w:val="NormalWeb"/>
                          <w:spacing w:before="0" w:beforeAutospacing="0" w:after="0" w:afterAutospacing="0" w:line="264" w:lineRule="auto"/>
                          <w:rPr>
                            <w:rFonts w:ascii="Tahoma" w:hAnsi="Tahoma" w:cs="Tahoma"/>
                            <w:color w:val="303030"/>
                            <w:sz w:val="21"/>
                            <w:szCs w:val="21"/>
                          </w:rPr>
                        </w:pPr>
                      </w:p>
                      <w:p w14:paraId="38ABF202" w14:textId="012775BD" w:rsidR="003E6AA5" w:rsidRDefault="003E6AA5" w:rsidP="003E6AA5">
                        <w:pPr>
                          <w:pStyle w:val="NormalWeb"/>
                          <w:spacing w:before="0" w:beforeAutospacing="0" w:after="0" w:afterAutospacing="0" w:line="264" w:lineRule="auto"/>
                          <w:rPr>
                            <w:rFonts w:ascii="Tahoma" w:hAnsi="Tahoma" w:cs="Tahoma"/>
                            <w:color w:val="303030"/>
                            <w:sz w:val="21"/>
                            <w:szCs w:val="21"/>
                          </w:rPr>
                        </w:pPr>
                        <w:r>
                          <w:rPr>
                            <w:rFonts w:ascii="Tahoma" w:hAnsi="Tahoma" w:cs="Tahoma"/>
                            <w:color w:val="303030"/>
                            <w:sz w:val="21"/>
                            <w:szCs w:val="21"/>
                          </w:rPr>
                          <w:t>There are now four assured CPCS IT suppliers in total to choose from. Contractors that have yet to enter an agreement should register with their chosen IT supplier (via the appropriate weblink above) to avoid service interruption.</w:t>
                        </w:r>
                        <w:r>
                          <w:rPr>
                            <w:rFonts w:ascii="Tahoma" w:hAnsi="Tahoma" w:cs="Tahoma"/>
                            <w:color w:val="303030"/>
                            <w:sz w:val="21"/>
                            <w:szCs w:val="21"/>
                          </w:rPr>
                          <w:br/>
                        </w:r>
                        <w:r>
                          <w:rPr>
                            <w:rFonts w:ascii="Tahoma" w:hAnsi="Tahoma" w:cs="Tahoma"/>
                            <w:color w:val="303030"/>
                            <w:sz w:val="21"/>
                            <w:szCs w:val="21"/>
                          </w:rPr>
                          <w:lastRenderedPageBreak/>
                          <w:br/>
                        </w:r>
                        <w:hyperlink r:id="rId12" w:tgtFrame="_blank" w:history="1">
                          <w:r>
                            <w:rPr>
                              <w:rStyle w:val="Hyperlink"/>
                              <w:rFonts w:ascii="Tahoma" w:hAnsi="Tahoma" w:cs="Tahoma"/>
                              <w:b/>
                              <w:bCs/>
                              <w:color w:val="4E3487"/>
                              <w:sz w:val="21"/>
                              <w:szCs w:val="21"/>
                            </w:rPr>
                            <w:t>Learn more</w:t>
                          </w:r>
                        </w:hyperlink>
                      </w:p>
                    </w:tc>
                    <w:tc>
                      <w:tcPr>
                        <w:tcW w:w="150" w:type="dxa"/>
                        <w:vAlign w:val="center"/>
                        <w:hideMark/>
                      </w:tcPr>
                      <w:p w14:paraId="37700DCB" w14:textId="77777777" w:rsidR="003E6AA5" w:rsidRDefault="003E6AA5">
                        <w:pPr>
                          <w:rPr>
                            <w:rFonts w:ascii="Tahoma" w:hAnsi="Tahoma" w:cs="Tahoma"/>
                            <w:color w:val="303030"/>
                            <w:sz w:val="21"/>
                            <w:szCs w:val="21"/>
                          </w:rPr>
                        </w:pPr>
                      </w:p>
                    </w:tc>
                  </w:tr>
                  <w:tr w:rsidR="003E6AA5" w14:paraId="190C1BDB" w14:textId="77777777">
                    <w:trPr>
                      <w:trHeight w:val="150"/>
                      <w:tblCellSpacing w:w="15" w:type="dxa"/>
                      <w:jc w:val="center"/>
                    </w:trPr>
                    <w:tc>
                      <w:tcPr>
                        <w:tcW w:w="150" w:type="dxa"/>
                        <w:vAlign w:val="center"/>
                        <w:hideMark/>
                      </w:tcPr>
                      <w:p w14:paraId="5A0E4DC4" w14:textId="77777777" w:rsidR="003E6AA5" w:rsidRDefault="003E6AA5">
                        <w:pPr>
                          <w:rPr>
                            <w:rFonts w:ascii="Times New Roman" w:eastAsia="Times New Roman" w:hAnsi="Times New Roman" w:cs="Times New Roman"/>
                            <w:sz w:val="20"/>
                            <w:szCs w:val="20"/>
                          </w:rPr>
                        </w:pPr>
                      </w:p>
                    </w:tc>
                    <w:tc>
                      <w:tcPr>
                        <w:tcW w:w="8700" w:type="dxa"/>
                        <w:vAlign w:val="center"/>
                        <w:hideMark/>
                      </w:tcPr>
                      <w:p w14:paraId="71CA3EED" w14:textId="77777777" w:rsidR="003E6AA5" w:rsidRDefault="003E6AA5">
                        <w:pPr>
                          <w:rPr>
                            <w:rFonts w:ascii="Times New Roman" w:eastAsia="Times New Roman" w:hAnsi="Times New Roman" w:cs="Times New Roman"/>
                            <w:sz w:val="20"/>
                            <w:szCs w:val="20"/>
                          </w:rPr>
                        </w:pPr>
                      </w:p>
                    </w:tc>
                    <w:tc>
                      <w:tcPr>
                        <w:tcW w:w="150" w:type="dxa"/>
                        <w:vAlign w:val="center"/>
                        <w:hideMark/>
                      </w:tcPr>
                      <w:p w14:paraId="76DD0B6C" w14:textId="77777777" w:rsidR="003E6AA5" w:rsidRDefault="003E6AA5">
                        <w:pPr>
                          <w:rPr>
                            <w:rFonts w:ascii="Times New Roman" w:eastAsia="Times New Roman" w:hAnsi="Times New Roman" w:cs="Times New Roman"/>
                            <w:sz w:val="20"/>
                            <w:szCs w:val="20"/>
                          </w:rPr>
                        </w:pPr>
                      </w:p>
                    </w:tc>
                  </w:tr>
                </w:tbl>
                <w:p w14:paraId="00957083" w14:textId="77777777" w:rsidR="003E6AA5" w:rsidRDefault="003E6AA5">
                  <w:pPr>
                    <w:jc w:val="center"/>
                    <w:rPr>
                      <w:rFonts w:ascii="Times New Roman" w:eastAsia="Times New Roman" w:hAnsi="Times New Roman" w:cs="Times New Roman"/>
                      <w:sz w:val="20"/>
                      <w:szCs w:val="20"/>
                    </w:rPr>
                  </w:pPr>
                </w:p>
              </w:tc>
            </w:tr>
          </w:tbl>
          <w:p w14:paraId="1A5A5B65" w14:textId="77777777" w:rsidR="003E6AA5" w:rsidRDefault="003E6AA5">
            <w:pPr>
              <w:jc w:val="center"/>
              <w:rPr>
                <w:rFonts w:ascii="Times New Roman" w:eastAsia="Times New Roman" w:hAnsi="Times New Roman" w:cs="Times New Roman"/>
                <w:sz w:val="20"/>
                <w:szCs w:val="20"/>
              </w:rPr>
            </w:pPr>
          </w:p>
        </w:tc>
      </w:tr>
      <w:tr w:rsidR="003E6AA5" w14:paraId="7031FB97" w14:textId="77777777" w:rsidTr="003E6AA5">
        <w:trPr>
          <w:tblCellSpacing w:w="0" w:type="dxa"/>
          <w:jc w:val="center"/>
        </w:trPr>
        <w:tc>
          <w:tcPr>
            <w:tcW w:w="0" w:type="auto"/>
            <w:shd w:val="clear" w:color="auto" w:fill="FFFFFF"/>
            <w:hideMark/>
          </w:tcPr>
          <w:tbl>
            <w:tblPr>
              <w:tblW w:w="3000" w:type="dxa"/>
              <w:jc w:val="center"/>
              <w:tblCellSpacing w:w="0" w:type="dxa"/>
              <w:shd w:val="clear" w:color="auto" w:fill="4E3487"/>
              <w:tblCellMar>
                <w:left w:w="0" w:type="dxa"/>
                <w:right w:w="0" w:type="dxa"/>
              </w:tblCellMar>
              <w:tblLook w:val="04A0" w:firstRow="1" w:lastRow="0" w:firstColumn="1" w:lastColumn="0" w:noHBand="0" w:noVBand="1"/>
            </w:tblPr>
            <w:tblGrid>
              <w:gridCol w:w="9000"/>
            </w:tblGrid>
            <w:tr w:rsidR="003E6AA5" w14:paraId="094E9DCE" w14:textId="77777777">
              <w:trPr>
                <w:tblCellSpacing w:w="0" w:type="dxa"/>
                <w:jc w:val="center"/>
              </w:trPr>
              <w:tc>
                <w:tcPr>
                  <w:tcW w:w="0" w:type="auto"/>
                  <w:shd w:val="clear" w:color="auto" w:fill="4E3487"/>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3E6AA5" w14:paraId="1FA1C6AE" w14:textId="77777777">
                    <w:trPr>
                      <w:tblCellSpacing w:w="0" w:type="dxa"/>
                      <w:jc w:val="center"/>
                    </w:trPr>
                    <w:tc>
                      <w:tcPr>
                        <w:tcW w:w="3000" w:type="dxa"/>
                        <w:tcMar>
                          <w:top w:w="30" w:type="dxa"/>
                          <w:left w:w="75" w:type="dxa"/>
                          <w:bottom w:w="30" w:type="dxa"/>
                          <w:right w:w="75" w:type="dxa"/>
                        </w:tcMar>
                        <w:hideMark/>
                      </w:tcPr>
                      <w:p w14:paraId="65266090" w14:textId="77777777" w:rsidR="003E6AA5" w:rsidRDefault="003E6AA5">
                        <w:pPr>
                          <w:pStyle w:val="Heading4"/>
                          <w:jc w:val="center"/>
                          <w:rPr>
                            <w:rFonts w:eastAsia="Times New Roman"/>
                          </w:rPr>
                        </w:pPr>
                        <w:r>
                          <w:rPr>
                            <w:rFonts w:eastAsia="Times New Roman"/>
                          </w:rPr>
                          <w:lastRenderedPageBreak/>
                          <w:t>Pharmaceutical Services Negotiating Committee</w:t>
                        </w:r>
                      </w:p>
                      <w:p w14:paraId="0C5357FD" w14:textId="4A4A8333" w:rsidR="003E6AA5" w:rsidRDefault="003E6AA5">
                        <w:pPr>
                          <w:jc w:val="center"/>
                          <w:rPr>
                            <w:rFonts w:ascii="Tahoma" w:eastAsia="Times New Roman" w:hAnsi="Tahoma" w:cs="Tahoma"/>
                            <w:color w:val="FFFFFF"/>
                            <w:sz w:val="18"/>
                            <w:szCs w:val="18"/>
                          </w:rPr>
                        </w:pPr>
                        <w:r>
                          <w:rPr>
                            <w:rFonts w:ascii="Tahoma" w:eastAsia="Times New Roman" w:hAnsi="Tahoma" w:cs="Tahoma"/>
                            <w:b/>
                            <w:noProof/>
                            <w:color w:val="FFFFFF"/>
                            <w:sz w:val="18"/>
                            <w:szCs w:val="18"/>
                          </w:rPr>
                          <w:drawing>
                            <wp:inline distT="0" distB="0" distL="0" distR="0" wp14:anchorId="22501B5F" wp14:editId="0B189CF8">
                              <wp:extent cx="605790" cy="308610"/>
                              <wp:effectExtent l="0" t="0" r="3810" b="15240"/>
                              <wp:docPr id="5" name="Picture 5">
                                <a:hlinkClick xmlns:a="http://schemas.openxmlformats.org/drawingml/2006/main" r:id="rId13"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r:link="rId15">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7636C714" wp14:editId="51540595">
                              <wp:extent cx="605790" cy="308610"/>
                              <wp:effectExtent l="0" t="0" r="3810" b="15240"/>
                              <wp:docPr id="4" name="Picture 4">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7" r:link="rId18">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2E80339E" wp14:editId="377858D8">
                              <wp:extent cx="605790" cy="308610"/>
                              <wp:effectExtent l="0" t="0" r="3810" b="15240"/>
                              <wp:docPr id="3" name="Picture 3">
                                <a:hlinkClick xmlns:a="http://schemas.openxmlformats.org/drawingml/2006/main" r:id="rId19"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0" r:link="rId21">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w:t>
                        </w:r>
                        <w:r>
                          <w:rPr>
                            <w:rFonts w:ascii="Tahoma" w:eastAsia="Times New Roman" w:hAnsi="Tahoma" w:cs="Tahoma"/>
                            <w:b/>
                            <w:noProof/>
                            <w:color w:val="FFFFFF"/>
                            <w:sz w:val="18"/>
                            <w:szCs w:val="18"/>
                          </w:rPr>
                          <w:drawing>
                            <wp:inline distT="0" distB="0" distL="0" distR="0" wp14:anchorId="0748F6DD" wp14:editId="033F529D">
                              <wp:extent cx="605790" cy="308610"/>
                              <wp:effectExtent l="0" t="0" r="3810" b="15240"/>
                              <wp:docPr id="2" name="Picture 2">
                                <a:hlinkClick xmlns:a="http://schemas.openxmlformats.org/drawingml/2006/main" r:id="rId22"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3" r:link="rId24">
                                        <a:extLst>
                                          <a:ext uri="{28A0092B-C50C-407E-A947-70E740481C1C}">
                                            <a14:useLocalDpi xmlns:a14="http://schemas.microsoft.com/office/drawing/2010/main" val="0"/>
                                          </a:ext>
                                        </a:extLst>
                                      </a:blip>
                                      <a:srcRect/>
                                      <a:stretch>
                                        <a:fillRect/>
                                      </a:stretch>
                                    </pic:blipFill>
                                    <pic:spPr bwMode="auto">
                                      <a:xfrm>
                                        <a:off x="0" y="0"/>
                                        <a:ext cx="605790" cy="308610"/>
                                      </a:xfrm>
                                      <a:prstGeom prst="rect">
                                        <a:avLst/>
                                      </a:prstGeom>
                                      <a:noFill/>
                                      <a:ln>
                                        <a:noFill/>
                                      </a:ln>
                                    </pic:spPr>
                                  </pic:pic>
                                </a:graphicData>
                              </a:graphic>
                            </wp:inline>
                          </w:drawing>
                        </w:r>
                        <w:r>
                          <w:rPr>
                            <w:rFonts w:ascii="Tahoma" w:eastAsia="Times New Roman" w:hAnsi="Tahoma" w:cs="Tahoma"/>
                            <w:color w:val="FFFFFF"/>
                            <w:sz w:val="18"/>
                            <w:szCs w:val="18"/>
                          </w:rPr>
                          <w:t xml:space="preserve"> </w:t>
                        </w:r>
                      </w:p>
                      <w:p w14:paraId="746346D8" w14:textId="77777777" w:rsidR="003E6AA5" w:rsidRDefault="003E6AA5">
                        <w:pPr>
                          <w:jc w:val="center"/>
                          <w:rPr>
                            <w:rFonts w:ascii="Tahoma" w:eastAsia="Times New Roman" w:hAnsi="Tahoma" w:cs="Tahoma"/>
                            <w:color w:val="FFFFFF"/>
                            <w:sz w:val="18"/>
                            <w:szCs w:val="18"/>
                          </w:rPr>
                        </w:pPr>
                        <w:r>
                          <w:rPr>
                            <w:rFonts w:ascii="Tahoma" w:eastAsia="Times New Roman" w:hAnsi="Tahoma" w:cs="Tahoma"/>
                            <w:color w:val="FFFFFF"/>
                            <w:sz w:val="18"/>
                            <w:szCs w:val="18"/>
                          </w:rPr>
                          <w:t>14 Hosier Lane, London, EC1A 9LQ</w:t>
                        </w:r>
                        <w:r>
                          <w:rPr>
                            <w:rFonts w:ascii="Tahoma" w:eastAsia="Times New Roman" w:hAnsi="Tahoma" w:cs="Tahoma"/>
                            <w:color w:val="FFFFFF"/>
                            <w:sz w:val="18"/>
                            <w:szCs w:val="18"/>
                          </w:rPr>
                          <w:br/>
                          <w:t>Tel: 0203 1220 810 | Email: </w:t>
                        </w:r>
                        <w:hyperlink r:id="rId25" w:tgtFrame="_blank" w:history="1">
                          <w:r>
                            <w:rPr>
                              <w:rStyle w:val="Hyperlink"/>
                              <w:rFonts w:ascii="Tahoma" w:eastAsia="Times New Roman" w:hAnsi="Tahoma" w:cs="Tahoma"/>
                              <w:b/>
                              <w:bCs/>
                              <w:color w:val="FFFFFF"/>
                              <w:sz w:val="18"/>
                              <w:szCs w:val="18"/>
                            </w:rPr>
                            <w:t>info@psnc.org.uk</w:t>
                          </w:r>
                        </w:hyperlink>
                        <w:r>
                          <w:rPr>
                            <w:rFonts w:ascii="Tahoma" w:eastAsia="Times New Roman" w:hAnsi="Tahoma" w:cs="Tahoma"/>
                            <w:color w:val="FFFFFF"/>
                            <w:sz w:val="18"/>
                            <w:szCs w:val="18"/>
                          </w:rPr>
                          <w:t xml:space="preserve"> </w:t>
                        </w:r>
                      </w:p>
                    </w:tc>
                  </w:tr>
                  <w:tr w:rsidR="003E6AA5" w14:paraId="3A4F048A" w14:textId="77777777" w:rsidTr="003E6AA5">
                    <w:trPr>
                      <w:trHeight w:val="119"/>
                      <w:tblCellSpacing w:w="0" w:type="dxa"/>
                      <w:jc w:val="center"/>
                    </w:trPr>
                    <w:tc>
                      <w:tcPr>
                        <w:tcW w:w="9000" w:type="dxa"/>
                        <w:tcMar>
                          <w:top w:w="150" w:type="dxa"/>
                          <w:left w:w="0" w:type="dxa"/>
                          <w:bottom w:w="0" w:type="dxa"/>
                          <w:right w:w="0" w:type="dxa"/>
                        </w:tcMar>
                        <w:vAlign w:val="center"/>
                        <w:hideMark/>
                      </w:tcPr>
                      <w:p w14:paraId="1C4FBE94" w14:textId="5B43AB9A" w:rsidR="003E6AA5" w:rsidRDefault="003E6AA5" w:rsidP="003E6AA5">
                        <w:pPr>
                          <w:rPr>
                            <w:rFonts w:ascii="Arial" w:eastAsia="Times New Roman" w:hAnsi="Arial" w:cs="Arial"/>
                            <w:color w:val="FFFFFF"/>
                            <w:sz w:val="17"/>
                            <w:szCs w:val="17"/>
                          </w:rPr>
                        </w:pPr>
                      </w:p>
                    </w:tc>
                  </w:tr>
                </w:tbl>
                <w:p w14:paraId="046DF4A2" w14:textId="77777777" w:rsidR="003E6AA5" w:rsidRDefault="003E6AA5">
                  <w:pPr>
                    <w:jc w:val="center"/>
                    <w:rPr>
                      <w:rFonts w:ascii="Times New Roman" w:eastAsia="Times New Roman" w:hAnsi="Times New Roman" w:cs="Times New Roman"/>
                      <w:sz w:val="20"/>
                      <w:szCs w:val="20"/>
                    </w:rPr>
                  </w:pPr>
                </w:p>
              </w:tc>
            </w:tr>
          </w:tbl>
          <w:p w14:paraId="2808AF18" w14:textId="77777777" w:rsidR="003E6AA5" w:rsidRDefault="003E6AA5">
            <w:pPr>
              <w:jc w:val="center"/>
              <w:rPr>
                <w:rFonts w:ascii="Times New Roman" w:eastAsia="Times New Roman" w:hAnsi="Times New Roman" w:cs="Times New Roman"/>
                <w:sz w:val="20"/>
                <w:szCs w:val="20"/>
              </w:rPr>
            </w:pPr>
          </w:p>
        </w:tc>
      </w:tr>
    </w:tbl>
    <w:p w14:paraId="488DC1D2" w14:textId="7A884A6F" w:rsidR="003E6AA5" w:rsidRDefault="003E6AA5" w:rsidP="003E6AA5">
      <w:pPr>
        <w:rPr>
          <w:rFonts w:eastAsia="Times New Roman"/>
        </w:rPr>
      </w:pPr>
      <w:r>
        <w:rPr>
          <w:rFonts w:eastAsia="Times New Roman"/>
          <w:noProof/>
        </w:rPr>
        <w:drawing>
          <wp:inline distT="0" distB="0" distL="0" distR="0" wp14:anchorId="1533342F" wp14:editId="3CAAABA9">
            <wp:extent cx="10795" cy="107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6" r:link="rId27">
                      <a:extLst>
                        <a:ext uri="{28A0092B-C50C-407E-A947-70E740481C1C}">
                          <a14:useLocalDpi xmlns:a14="http://schemas.microsoft.com/office/drawing/2010/main" val="0"/>
                        </a:ext>
                      </a:extLst>
                    </a:blip>
                    <a:srcRect/>
                    <a:stretch>
                      <a:fillRect/>
                    </a:stretch>
                  </pic:blipFill>
                  <pic:spPr bwMode="auto">
                    <a:xfrm>
                      <a:off x="0" y="0"/>
                      <a:ext cx="10795" cy="10795"/>
                    </a:xfrm>
                    <a:prstGeom prst="rect">
                      <a:avLst/>
                    </a:prstGeom>
                    <a:noFill/>
                    <a:ln>
                      <a:noFill/>
                    </a:ln>
                  </pic:spPr>
                </pic:pic>
              </a:graphicData>
            </a:graphic>
          </wp:inline>
        </w:drawing>
      </w:r>
    </w:p>
    <w:p w14:paraId="3E7C0596" w14:textId="77777777" w:rsidR="00DD1890" w:rsidRDefault="00DD1890"/>
    <w:sectPr w:rsidR="00DD1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8200DD2"/>
    <w:multiLevelType w:val="multilevel"/>
    <w:tmpl w:val="A8C6471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177512848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6AA5"/>
    <w:rsid w:val="00213C0D"/>
    <w:rsid w:val="003E6AA5"/>
    <w:rsid w:val="00AD0271"/>
    <w:rsid w:val="00C57723"/>
    <w:rsid w:val="00DD189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05473D"/>
  <w15:chartTrackingRefBased/>
  <w15:docId w15:val="{1F4ECB6F-A978-48C0-B044-B737C37D86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AA5"/>
    <w:rPr>
      <w:rFonts w:ascii="Calibri" w:hAnsi="Calibri" w:cs="Calibri"/>
      <w:lang w:eastAsia="en-GB"/>
    </w:rPr>
  </w:style>
  <w:style w:type="paragraph" w:styleId="Heading1">
    <w:name w:val="heading 1"/>
    <w:basedOn w:val="Normal"/>
    <w:link w:val="Heading1Char"/>
    <w:uiPriority w:val="9"/>
    <w:qFormat/>
    <w:rsid w:val="003E6AA5"/>
    <w:pPr>
      <w:spacing w:after="75" w:line="264" w:lineRule="auto"/>
      <w:outlineLvl w:val="0"/>
    </w:pPr>
    <w:rPr>
      <w:rFonts w:ascii="Tahoma" w:hAnsi="Tahoma" w:cs="Tahoma"/>
      <w:b/>
      <w:bCs/>
      <w:color w:val="4E3487"/>
      <w:kern w:val="36"/>
      <w:sz w:val="54"/>
      <w:szCs w:val="54"/>
    </w:rPr>
  </w:style>
  <w:style w:type="paragraph" w:styleId="Heading2">
    <w:name w:val="heading 2"/>
    <w:basedOn w:val="Normal"/>
    <w:link w:val="Heading2Char"/>
    <w:uiPriority w:val="9"/>
    <w:unhideWhenUsed/>
    <w:qFormat/>
    <w:rsid w:val="003E6AA5"/>
    <w:pPr>
      <w:spacing w:after="75" w:line="264" w:lineRule="auto"/>
      <w:outlineLvl w:val="1"/>
    </w:pPr>
    <w:rPr>
      <w:rFonts w:ascii="Tahoma" w:hAnsi="Tahoma" w:cs="Tahoma"/>
      <w:b/>
      <w:bCs/>
      <w:color w:val="4E3487"/>
      <w:sz w:val="30"/>
      <w:szCs w:val="30"/>
    </w:rPr>
  </w:style>
  <w:style w:type="paragraph" w:styleId="Heading4">
    <w:name w:val="heading 4"/>
    <w:basedOn w:val="Normal"/>
    <w:link w:val="Heading4Char"/>
    <w:uiPriority w:val="9"/>
    <w:semiHidden/>
    <w:unhideWhenUsed/>
    <w:qFormat/>
    <w:rsid w:val="003E6AA5"/>
    <w:pPr>
      <w:spacing w:after="75" w:line="264" w:lineRule="auto"/>
      <w:outlineLvl w:val="3"/>
    </w:pPr>
    <w:rPr>
      <w:rFonts w:ascii="Tahoma" w:hAnsi="Tahoma" w:cs="Tahoma"/>
      <w:b/>
      <w:bCs/>
      <w:color w:val="FFFFFF"/>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AA5"/>
    <w:rPr>
      <w:rFonts w:ascii="Tahoma" w:hAnsi="Tahoma" w:cs="Tahoma"/>
      <w:b/>
      <w:bCs/>
      <w:color w:val="4E3487"/>
      <w:kern w:val="36"/>
      <w:sz w:val="54"/>
      <w:szCs w:val="54"/>
      <w:lang w:eastAsia="en-GB"/>
    </w:rPr>
  </w:style>
  <w:style w:type="character" w:customStyle="1" w:styleId="Heading2Char">
    <w:name w:val="Heading 2 Char"/>
    <w:basedOn w:val="DefaultParagraphFont"/>
    <w:link w:val="Heading2"/>
    <w:uiPriority w:val="9"/>
    <w:rsid w:val="003E6AA5"/>
    <w:rPr>
      <w:rFonts w:ascii="Tahoma" w:hAnsi="Tahoma" w:cs="Tahoma"/>
      <w:b/>
      <w:bCs/>
      <w:color w:val="4E3487"/>
      <w:sz w:val="30"/>
      <w:szCs w:val="30"/>
      <w:lang w:eastAsia="en-GB"/>
    </w:rPr>
  </w:style>
  <w:style w:type="character" w:customStyle="1" w:styleId="Heading4Char">
    <w:name w:val="Heading 4 Char"/>
    <w:basedOn w:val="DefaultParagraphFont"/>
    <w:link w:val="Heading4"/>
    <w:uiPriority w:val="9"/>
    <w:semiHidden/>
    <w:rsid w:val="003E6AA5"/>
    <w:rPr>
      <w:rFonts w:ascii="Tahoma" w:hAnsi="Tahoma" w:cs="Tahoma"/>
      <w:b/>
      <w:bCs/>
      <w:color w:val="FFFFFF"/>
      <w:sz w:val="18"/>
      <w:szCs w:val="18"/>
      <w:lang w:eastAsia="en-GB"/>
    </w:rPr>
  </w:style>
  <w:style w:type="paragraph" w:styleId="NormalWeb">
    <w:name w:val="Normal (Web)"/>
    <w:basedOn w:val="Normal"/>
    <w:uiPriority w:val="99"/>
    <w:unhideWhenUsed/>
    <w:rsid w:val="003E6AA5"/>
    <w:pPr>
      <w:spacing w:before="100" w:beforeAutospacing="1" w:after="100" w:afterAutospacing="1"/>
    </w:pPr>
  </w:style>
  <w:style w:type="character" w:styleId="Strong">
    <w:name w:val="Strong"/>
    <w:basedOn w:val="DefaultParagraphFont"/>
    <w:uiPriority w:val="22"/>
    <w:qFormat/>
    <w:rsid w:val="003E6AA5"/>
    <w:rPr>
      <w:b/>
      <w:bCs/>
    </w:rPr>
  </w:style>
  <w:style w:type="character" w:styleId="Hyperlink">
    <w:name w:val="Hyperlink"/>
    <w:basedOn w:val="DefaultParagraphFont"/>
    <w:uiPriority w:val="99"/>
    <w:semiHidden/>
    <w:unhideWhenUsed/>
    <w:rsid w:val="003E6AA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4144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http://psnc.org.uk/wp-content/uploads/2013/11/Newsletter-style-bar.png" TargetMode="External"/><Relationship Id="rId13" Type="http://schemas.openxmlformats.org/officeDocument/2006/relationships/hyperlink" Target="https://psnc.us7.list-manage.com/track/click?u=86d41ab7fa4c7c2c5d7210782&amp;id=e07abea054&amp;e=d19e9fd41c" TargetMode="External"/><Relationship Id="rId18" Type="http://schemas.openxmlformats.org/officeDocument/2006/relationships/image" Target="https://gallery.mailchimp.com/86d41ab7fa4c7c2c5d7210782/images/e1475f6b-1081-4509-ab25-9cd7f83d26b2.png" TargetMode="External"/><Relationship Id="rId26" Type="http://schemas.openxmlformats.org/officeDocument/2006/relationships/image" Target="media/image7.gif"/><Relationship Id="rId3" Type="http://schemas.openxmlformats.org/officeDocument/2006/relationships/settings" Target="settings.xml"/><Relationship Id="rId21" Type="http://schemas.openxmlformats.org/officeDocument/2006/relationships/image" Target="https://gallery.mailchimp.com/86d41ab7fa4c7c2c5d7210782/images/cd088afd-0ac0-4498-8ed1-e4199bf882ce.png" TargetMode="External"/><Relationship Id="rId7" Type="http://schemas.openxmlformats.org/officeDocument/2006/relationships/image" Target="media/image2.png"/><Relationship Id="rId12" Type="http://schemas.openxmlformats.org/officeDocument/2006/relationships/hyperlink" Target="https://psnc.us7.list-manage.com/track/click?u=86d41ab7fa4c7c2c5d7210782&amp;id=c659c0a213&amp;e=d19e9fd41c" TargetMode="External"/><Relationship Id="rId17" Type="http://schemas.openxmlformats.org/officeDocument/2006/relationships/image" Target="media/image4.png"/><Relationship Id="rId25" Type="http://schemas.openxmlformats.org/officeDocument/2006/relationships/hyperlink" Target="mailto:info@psnc.org.uk" TargetMode="External"/><Relationship Id="rId2" Type="http://schemas.openxmlformats.org/officeDocument/2006/relationships/styles" Target="styles.xml"/><Relationship Id="rId16" Type="http://schemas.openxmlformats.org/officeDocument/2006/relationships/hyperlink" Target="https://psnc.us7.list-manage.com/track/click?u=86d41ab7fa4c7c2c5d7210782&amp;id=bdf75a7f21&amp;e=d19e9fd41c" TargetMode="External"/><Relationship Id="rId20" Type="http://schemas.openxmlformats.org/officeDocument/2006/relationships/image" Target="media/image5.png"/><Relationship Id="rId29"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https://gallery.mailchimp.com/86d41ab7fa4c7c2c5d7210782/images/001d399a-96a4-4e1f-b905-a21d530b5d29.jpg" TargetMode="External"/><Relationship Id="rId11" Type="http://schemas.openxmlformats.org/officeDocument/2006/relationships/hyperlink" Target="https://psnc.us7.list-manage.com/track/click?u=86d41ab7fa4c7c2c5d7210782&amp;id=db2b02c83f&amp;e=d19e9fd41c" TargetMode="External"/><Relationship Id="rId24" Type="http://schemas.openxmlformats.org/officeDocument/2006/relationships/image" Target="https://gallery.mailchimp.com/86d41ab7fa4c7c2c5d7210782/images/f5c0845f-f39c-425d-8d3c-deff11493c50.png" TargetMode="External"/><Relationship Id="rId5" Type="http://schemas.openxmlformats.org/officeDocument/2006/relationships/image" Target="media/image1.jpeg"/><Relationship Id="rId15" Type="http://schemas.openxmlformats.org/officeDocument/2006/relationships/image" Target="https://gallery.mailchimp.com/86d41ab7fa4c7c2c5d7210782/images/5acd9cf1-bdba-4039-b74f-638b444ff5d8.png" TargetMode="External"/><Relationship Id="rId23" Type="http://schemas.openxmlformats.org/officeDocument/2006/relationships/image" Target="media/image6.png"/><Relationship Id="rId28" Type="http://schemas.openxmlformats.org/officeDocument/2006/relationships/fontTable" Target="fontTable.xml"/><Relationship Id="rId10" Type="http://schemas.openxmlformats.org/officeDocument/2006/relationships/hyperlink" Target="https://psnc.us7.list-manage.com/track/click?u=86d41ab7fa4c7c2c5d7210782&amp;id=702c59c292&amp;e=d19e9fd41c" TargetMode="External"/><Relationship Id="rId19" Type="http://schemas.openxmlformats.org/officeDocument/2006/relationships/hyperlink" Target="https://psnc.us7.list-manage.com/track/click?u=86d41ab7fa4c7c2c5d7210782&amp;id=e75e11b9c2&amp;e=d19e9fd41c" TargetMode="External"/><Relationship Id="rId4" Type="http://schemas.openxmlformats.org/officeDocument/2006/relationships/webSettings" Target="webSettings.xml"/><Relationship Id="rId9" Type="http://schemas.openxmlformats.org/officeDocument/2006/relationships/hyperlink" Target="mailto:info@psnc.org.uk" TargetMode="External"/><Relationship Id="rId14" Type="http://schemas.openxmlformats.org/officeDocument/2006/relationships/image" Target="media/image3.png"/><Relationship Id="rId22" Type="http://schemas.openxmlformats.org/officeDocument/2006/relationships/hyperlink" Target="https://psnc.us7.list-manage.com/track/click?u=86d41ab7fa4c7c2c5d7210782&amp;id=8073376dae&amp;e=d19e9fd41c" TargetMode="External"/><Relationship Id="rId27" Type="http://schemas.openxmlformats.org/officeDocument/2006/relationships/image" Target="https://psnc.us7.list-manage.com/track/open.php?u=86d41ab7fa4c7c2c5d7210782&amp;id=2c3a237d0b&amp;e=d19e9fd41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393</Words>
  <Characters>2243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2</cp:revision>
  <dcterms:created xsi:type="dcterms:W3CDTF">2022-06-17T15:44:00Z</dcterms:created>
  <dcterms:modified xsi:type="dcterms:W3CDTF">2022-06-17T15:58:00Z</dcterms:modified>
</cp:coreProperties>
</file>