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C2DF9" w14:paraId="4A80CCCD" w14:textId="77777777" w:rsidTr="00DC2DF9">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DC2DF9" w14:paraId="5B2B3A28" w14:textId="77777777" w:rsidTr="003178CB">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C2DF9" w14:paraId="7E2346A4" w14:textId="77777777">
                    <w:trPr>
                      <w:tblCellSpacing w:w="0" w:type="dxa"/>
                      <w:jc w:val="center"/>
                    </w:trPr>
                    <w:tc>
                      <w:tcPr>
                        <w:tcW w:w="3000" w:type="dxa"/>
                        <w:hideMark/>
                      </w:tcPr>
                      <w:p w14:paraId="3A2D7D0E" w14:textId="14D7972A" w:rsidR="00DC2DF9" w:rsidRDefault="003178C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A5A0980" w14:textId="77777777" w:rsidR="00DC2DF9" w:rsidRDefault="00DC2DF9">
                  <w:pPr>
                    <w:jc w:val="center"/>
                    <w:rPr>
                      <w:rFonts w:ascii="Times New Roman" w:eastAsia="Times New Roman" w:hAnsi="Times New Roman" w:cs="Times New Roman"/>
                      <w:sz w:val="20"/>
                      <w:szCs w:val="20"/>
                    </w:rPr>
                  </w:pPr>
                </w:p>
              </w:tc>
            </w:tr>
            <w:tr w:rsidR="00DC2DF9" w14:paraId="3CA674DC" w14:textId="77777777" w:rsidTr="003178CB">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C2DF9" w14:paraId="78D6826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36C9D2D" w14:textId="14B94891" w:rsidR="00DC2DF9" w:rsidRDefault="00DC2DF9">
                        <w:pPr>
                          <w:jc w:val="center"/>
                          <w:rPr>
                            <w:rFonts w:eastAsia="Times New Roman"/>
                          </w:rPr>
                        </w:pPr>
                        <w:r>
                          <w:rPr>
                            <w:rFonts w:eastAsia="Times New Roman"/>
                            <w:noProof/>
                          </w:rPr>
                          <w:drawing>
                            <wp:inline distT="0" distB="0" distL="0" distR="0" wp14:anchorId="2ADA5CFC" wp14:editId="094AC6CC">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DC2DF9" w14:paraId="2F59FE13" w14:textId="77777777">
                    <w:trPr>
                      <w:tblCellSpacing w:w="0" w:type="dxa"/>
                    </w:trPr>
                    <w:tc>
                      <w:tcPr>
                        <w:tcW w:w="0" w:type="auto"/>
                        <w:vMerge/>
                        <w:tcBorders>
                          <w:top w:val="nil"/>
                          <w:left w:val="nil"/>
                          <w:bottom w:val="single" w:sz="2" w:space="0" w:color="FFFFFF"/>
                          <w:right w:val="nil"/>
                        </w:tcBorders>
                        <w:vAlign w:val="center"/>
                        <w:hideMark/>
                      </w:tcPr>
                      <w:p w14:paraId="58551543" w14:textId="77777777" w:rsidR="00DC2DF9" w:rsidRDefault="00DC2DF9">
                        <w:pPr>
                          <w:rPr>
                            <w:rFonts w:eastAsia="Times New Roman"/>
                          </w:rPr>
                        </w:pPr>
                      </w:p>
                    </w:tc>
                    <w:tc>
                      <w:tcPr>
                        <w:tcW w:w="3450" w:type="dxa"/>
                        <w:tcBorders>
                          <w:top w:val="nil"/>
                          <w:left w:val="nil"/>
                          <w:bottom w:val="nil"/>
                          <w:right w:val="nil"/>
                        </w:tcBorders>
                        <w:vAlign w:val="center"/>
                        <w:hideMark/>
                      </w:tcPr>
                      <w:p w14:paraId="531D8A93" w14:textId="77777777" w:rsidR="00DC2DF9" w:rsidRDefault="00DC2DF9">
                        <w:pPr>
                          <w:pStyle w:val="Heading1"/>
                          <w:rPr>
                            <w:rFonts w:eastAsia="Times New Roman"/>
                          </w:rPr>
                        </w:pPr>
                        <w:r>
                          <w:rPr>
                            <w:rFonts w:eastAsia="Times New Roman"/>
                          </w:rPr>
                          <w:t>PSNC Newsletter</w:t>
                        </w:r>
                      </w:p>
                    </w:tc>
                  </w:tr>
                  <w:tr w:rsidR="00DC2DF9" w14:paraId="46001DD2" w14:textId="77777777">
                    <w:trPr>
                      <w:tblCellSpacing w:w="0" w:type="dxa"/>
                    </w:trPr>
                    <w:tc>
                      <w:tcPr>
                        <w:tcW w:w="0" w:type="auto"/>
                        <w:vMerge/>
                        <w:tcBorders>
                          <w:top w:val="nil"/>
                          <w:left w:val="nil"/>
                          <w:bottom w:val="single" w:sz="2" w:space="0" w:color="FFFFFF"/>
                          <w:right w:val="nil"/>
                        </w:tcBorders>
                        <w:vAlign w:val="center"/>
                        <w:hideMark/>
                      </w:tcPr>
                      <w:p w14:paraId="2A74DC1F" w14:textId="77777777" w:rsidR="00DC2DF9" w:rsidRDefault="00DC2DF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02D5419" w14:textId="77777777" w:rsidR="00DC2DF9" w:rsidRDefault="00DC2DF9">
                        <w:pPr>
                          <w:pStyle w:val="Heading2"/>
                          <w:rPr>
                            <w:rFonts w:eastAsia="Times New Roman"/>
                            <w:color w:val="93378A"/>
                          </w:rPr>
                        </w:pPr>
                        <w:r>
                          <w:rPr>
                            <w:rFonts w:eastAsia="Times New Roman"/>
                            <w:color w:val="93378A"/>
                          </w:rPr>
                          <w:t>Friday 10th June 2022</w:t>
                        </w:r>
                      </w:p>
                    </w:tc>
                  </w:tr>
                </w:tbl>
                <w:p w14:paraId="0D84D9DC" w14:textId="77777777" w:rsidR="00DC2DF9" w:rsidRDefault="00DC2DF9">
                  <w:pPr>
                    <w:rPr>
                      <w:rFonts w:ascii="Times New Roman" w:eastAsia="Times New Roman" w:hAnsi="Times New Roman" w:cs="Times New Roman"/>
                      <w:sz w:val="20"/>
                      <w:szCs w:val="20"/>
                    </w:rPr>
                  </w:pPr>
                </w:p>
              </w:tc>
            </w:tr>
            <w:tr w:rsidR="00DC2DF9" w14:paraId="5518F7CC" w14:textId="77777777" w:rsidTr="003178CB">
              <w:tblPrEx>
                <w:shd w:val="clear" w:color="auto" w:fill="auto"/>
              </w:tblPrEx>
              <w:trPr>
                <w:tblCellSpacing w:w="0" w:type="dxa"/>
                <w:jc w:val="center"/>
              </w:trPr>
              <w:tc>
                <w:tcPr>
                  <w:tcW w:w="9026" w:type="dxa"/>
                  <w:gridSpan w:val="2"/>
                  <w:hideMark/>
                </w:tcPr>
                <w:p w14:paraId="58DDEEA4" w14:textId="4FDF1483" w:rsidR="00DC2DF9" w:rsidRDefault="00DC2DF9">
                  <w:pPr>
                    <w:rPr>
                      <w:rFonts w:eastAsia="Times New Roman"/>
                    </w:rPr>
                  </w:pPr>
                  <w:r>
                    <w:rPr>
                      <w:rFonts w:eastAsia="Times New Roman"/>
                      <w:noProof/>
                    </w:rPr>
                    <w:drawing>
                      <wp:inline distT="0" distB="0" distL="0" distR="0" wp14:anchorId="162DFAB4" wp14:editId="60023604">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DC2DF9" w14:paraId="66CE176B" w14:textId="77777777" w:rsidTr="003178CB">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C2DF9" w14:paraId="52EADA6B" w14:textId="77777777">
                    <w:trPr>
                      <w:trHeight w:val="150"/>
                      <w:tblCellSpacing w:w="15" w:type="dxa"/>
                      <w:jc w:val="center"/>
                    </w:trPr>
                    <w:tc>
                      <w:tcPr>
                        <w:tcW w:w="150" w:type="dxa"/>
                        <w:vAlign w:val="center"/>
                        <w:hideMark/>
                      </w:tcPr>
                      <w:p w14:paraId="39E72E5E" w14:textId="77777777" w:rsidR="00DC2DF9" w:rsidRDefault="00DC2DF9" w:rsidP="003178CB">
                        <w:pPr>
                          <w:spacing w:line="264" w:lineRule="auto"/>
                          <w:rPr>
                            <w:rFonts w:eastAsia="Times New Roman"/>
                          </w:rPr>
                        </w:pPr>
                      </w:p>
                    </w:tc>
                    <w:tc>
                      <w:tcPr>
                        <w:tcW w:w="8700" w:type="dxa"/>
                        <w:vAlign w:val="center"/>
                        <w:hideMark/>
                      </w:tcPr>
                      <w:p w14:paraId="74EA9D25" w14:textId="77777777" w:rsidR="00DC2DF9" w:rsidRDefault="00DC2DF9" w:rsidP="003178CB">
                        <w:pPr>
                          <w:spacing w:line="264" w:lineRule="auto"/>
                          <w:rPr>
                            <w:rFonts w:ascii="Times New Roman" w:eastAsia="Times New Roman" w:hAnsi="Times New Roman" w:cs="Times New Roman"/>
                            <w:sz w:val="20"/>
                            <w:szCs w:val="20"/>
                          </w:rPr>
                        </w:pPr>
                      </w:p>
                    </w:tc>
                    <w:tc>
                      <w:tcPr>
                        <w:tcW w:w="150" w:type="dxa"/>
                        <w:vAlign w:val="center"/>
                        <w:hideMark/>
                      </w:tcPr>
                      <w:p w14:paraId="679B7BD7" w14:textId="77777777" w:rsidR="00DC2DF9" w:rsidRDefault="00DC2DF9" w:rsidP="003178CB">
                        <w:pPr>
                          <w:spacing w:line="264" w:lineRule="auto"/>
                          <w:rPr>
                            <w:rFonts w:ascii="Times New Roman" w:eastAsia="Times New Roman" w:hAnsi="Times New Roman" w:cs="Times New Roman"/>
                            <w:sz w:val="20"/>
                            <w:szCs w:val="20"/>
                          </w:rPr>
                        </w:pPr>
                      </w:p>
                    </w:tc>
                  </w:tr>
                  <w:tr w:rsidR="00DC2DF9" w14:paraId="2391E188" w14:textId="77777777">
                    <w:trPr>
                      <w:tblCellSpacing w:w="15" w:type="dxa"/>
                      <w:jc w:val="center"/>
                    </w:trPr>
                    <w:tc>
                      <w:tcPr>
                        <w:tcW w:w="150" w:type="dxa"/>
                        <w:vAlign w:val="center"/>
                        <w:hideMark/>
                      </w:tcPr>
                      <w:p w14:paraId="16CA299E" w14:textId="77777777" w:rsidR="00DC2DF9" w:rsidRDefault="00DC2DF9" w:rsidP="003178CB">
                        <w:pPr>
                          <w:spacing w:line="264" w:lineRule="auto"/>
                          <w:rPr>
                            <w:rFonts w:ascii="Times New Roman" w:eastAsia="Times New Roman" w:hAnsi="Times New Roman" w:cs="Times New Roman"/>
                            <w:sz w:val="20"/>
                            <w:szCs w:val="20"/>
                          </w:rPr>
                        </w:pPr>
                      </w:p>
                    </w:tc>
                    <w:tc>
                      <w:tcPr>
                        <w:tcW w:w="8700" w:type="dxa"/>
                        <w:vAlign w:val="center"/>
                        <w:hideMark/>
                      </w:tcPr>
                      <w:p w14:paraId="64AB57B5"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C509545"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F785FB">
                            <v:rect id="_x0000_i1032" style="width:468pt;height:1.5pt" o:hrstd="t" o:hr="t" fillcolor="#a0a0a0" stroked="f"/>
                          </w:pict>
                        </w:r>
                      </w:p>
                      <w:p w14:paraId="5A7B3BBA" w14:textId="77777777" w:rsidR="00DC2DF9" w:rsidRDefault="00DC2DF9" w:rsidP="003178CB">
                        <w:pPr>
                          <w:pStyle w:val="Heading2"/>
                          <w:spacing w:after="0"/>
                          <w:rPr>
                            <w:rFonts w:eastAsia="Times New Roman"/>
                          </w:rPr>
                        </w:pPr>
                        <w:r>
                          <w:rPr>
                            <w:rFonts w:eastAsia="Times New Roman"/>
                          </w:rPr>
                          <w:t>In this update: PSNC response to hub and spoke consultation; RCGP C-19 recovery guidance; over 10,700 contractors benefit from earlier advance payments in June; new HRT SSP flowcharts; DSPTK guidance for 2021/22 submission.</w:t>
                        </w:r>
                      </w:p>
                      <w:p w14:paraId="44AF293C"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DBF009">
                            <v:rect id="_x0000_i1033" style="width:468pt;height:1.5pt" o:hrstd="t" o:hr="t" fillcolor="#a0a0a0" stroked="f"/>
                          </w:pict>
                        </w:r>
                      </w:p>
                      <w:p w14:paraId="0ECDB466" w14:textId="77777777" w:rsidR="00DC2DF9" w:rsidRDefault="00DC2DF9" w:rsidP="003178CB">
                        <w:pPr>
                          <w:pStyle w:val="Heading2"/>
                          <w:spacing w:after="0"/>
                          <w:rPr>
                            <w:rFonts w:eastAsia="Times New Roman"/>
                          </w:rPr>
                        </w:pPr>
                        <w:r>
                          <w:rPr>
                            <w:rFonts w:eastAsia="Times New Roman"/>
                          </w:rPr>
                          <w:t>PSNC submits response to Hub and Spoke consultation</w:t>
                        </w:r>
                      </w:p>
                      <w:p w14:paraId="048E591E" w14:textId="2DCEE666"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submitted its response to the proposals set out in the Department of Health and Social Care’s (DHSC’s) consultation on hub and spoke dispensing. </w:t>
                        </w:r>
                      </w:p>
                      <w:p w14:paraId="75699D1C" w14:textId="77777777" w:rsidR="003178CB" w:rsidRDefault="003178CB" w:rsidP="003178CB">
                        <w:pPr>
                          <w:spacing w:line="264" w:lineRule="auto"/>
                          <w:rPr>
                            <w:rFonts w:ascii="Tahoma" w:eastAsia="Times New Roman" w:hAnsi="Tahoma" w:cs="Tahoma"/>
                            <w:color w:val="303030"/>
                            <w:sz w:val="21"/>
                            <w:szCs w:val="21"/>
                          </w:rPr>
                        </w:pPr>
                      </w:p>
                      <w:p w14:paraId="63FD7FE1" w14:textId="77777777" w:rsidR="00DC2DF9" w:rsidRDefault="00DC2DF9" w:rsidP="003178C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consultation response indicates that whilst the Committee supports the appropriate changes to the regulations in principle, it believes that only one of the models proposed has manageable risks relating to patient safety, and has the potential to allow the whole community pharmacy sector to benefit fairly.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response to the Hub and Spoke consultation</w:t>
                          </w:r>
                        </w:hyperlink>
                      </w:p>
                      <w:p w14:paraId="0F1FCC7C"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945ADF">
                            <v:rect id="_x0000_i1034" style="width:468pt;height:1.5pt" o:hrstd="t" o:hr="t" fillcolor="#a0a0a0" stroked="f"/>
                          </w:pict>
                        </w:r>
                      </w:p>
                      <w:p w14:paraId="51F45A2F" w14:textId="77777777" w:rsidR="00DC2DF9" w:rsidRDefault="00DC2DF9" w:rsidP="003178CB">
                        <w:pPr>
                          <w:pStyle w:val="Heading2"/>
                          <w:spacing w:after="0"/>
                          <w:rPr>
                            <w:rFonts w:eastAsia="Times New Roman"/>
                          </w:rPr>
                        </w:pPr>
                        <w:r>
                          <w:rPr>
                            <w:rFonts w:eastAsia="Times New Roman"/>
                          </w:rPr>
                          <w:t>Hypertension Case-Finding Service highlighted in RCGP C-19 recovery guidance</w:t>
                        </w:r>
                      </w:p>
                      <w:p w14:paraId="26348C33" w14:textId="6FBD3501"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recovery plans following COVID-19, the Royal College of General Practitioners (RCGP) has produced </w:t>
                        </w:r>
                        <w:hyperlink r:id="rId9" w:history="1">
                          <w:r>
                            <w:rPr>
                              <w:rStyle w:val="Hyperlink"/>
                              <w:rFonts w:ascii="Tahoma" w:eastAsia="Times New Roman" w:hAnsi="Tahoma" w:cs="Tahoma"/>
                              <w:b/>
                              <w:bCs/>
                              <w:color w:val="4E3487"/>
                              <w:sz w:val="21"/>
                              <w:szCs w:val="21"/>
                            </w:rPr>
                            <w:t>guidance</w:t>
                          </w:r>
                        </w:hyperlink>
                        <w:r>
                          <w:rPr>
                            <w:rFonts w:ascii="Tahoma" w:eastAsia="Times New Roman" w:hAnsi="Tahoma" w:cs="Tahoma"/>
                            <w:color w:val="303030"/>
                            <w:sz w:val="21"/>
                            <w:szCs w:val="21"/>
                          </w:rPr>
                          <w:t xml:space="preserve"> for clinicians working in general practice, which sets out suggested actions for consideration to support long-term condition management over the next six months. </w:t>
                        </w:r>
                      </w:p>
                      <w:p w14:paraId="48A74EB0" w14:textId="77777777" w:rsidR="003178CB" w:rsidRDefault="003178CB" w:rsidP="003178CB">
                        <w:pPr>
                          <w:spacing w:line="264" w:lineRule="auto"/>
                          <w:rPr>
                            <w:rFonts w:ascii="Tahoma" w:eastAsia="Times New Roman" w:hAnsi="Tahoma" w:cs="Tahoma"/>
                            <w:color w:val="303030"/>
                            <w:sz w:val="21"/>
                            <w:szCs w:val="21"/>
                          </w:rPr>
                        </w:pPr>
                      </w:p>
                      <w:p w14:paraId="48F3532C" w14:textId="5582A25C" w:rsidR="00DC2DF9" w:rsidRDefault="00DC2DF9" w:rsidP="003178C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Among the suggestions is for clinicians to consider signposting patients with cardiovascular disease to the Hypertension Case-Finding Service, as part of the wider system to support blood pressure checks.</w:t>
                        </w:r>
                      </w:p>
                      <w:p w14:paraId="0F9B76E5" w14:textId="77777777" w:rsidR="003178CB" w:rsidRDefault="003178CB" w:rsidP="003178CB">
                        <w:pPr>
                          <w:pStyle w:val="NormalWeb"/>
                          <w:spacing w:before="0" w:beforeAutospacing="0" w:after="0" w:afterAutospacing="0" w:line="264" w:lineRule="auto"/>
                          <w:rPr>
                            <w:rFonts w:ascii="Tahoma" w:hAnsi="Tahoma" w:cs="Tahoma"/>
                            <w:color w:val="303030"/>
                            <w:sz w:val="21"/>
                            <w:szCs w:val="21"/>
                          </w:rPr>
                        </w:pPr>
                      </w:p>
                      <w:p w14:paraId="39CAA63C" w14:textId="77777777" w:rsidR="00DC2DF9" w:rsidRDefault="00DC2DF9" w:rsidP="003178CB">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2E58312D"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6EC912">
                            <v:rect id="_x0000_i1035" style="width:468pt;height:1.5pt" o:hrstd="t" o:hr="t" fillcolor="#a0a0a0" stroked="f"/>
                          </w:pict>
                        </w:r>
                      </w:p>
                      <w:p w14:paraId="08635BF9" w14:textId="77777777" w:rsidR="00DC2DF9" w:rsidRDefault="00DC2DF9" w:rsidP="003178CB">
                        <w:pPr>
                          <w:pStyle w:val="Heading2"/>
                          <w:spacing w:after="0"/>
                          <w:rPr>
                            <w:rFonts w:eastAsia="Times New Roman"/>
                          </w:rPr>
                        </w:pPr>
                        <w:r>
                          <w:rPr>
                            <w:rFonts w:eastAsia="Times New Roman"/>
                          </w:rPr>
                          <w:t>Over 10,700 pharmacies to benefit from earlier advance payments on 13th June</w:t>
                        </w:r>
                      </w:p>
                      <w:p w14:paraId="66CC2404"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Over </w:t>
                        </w:r>
                        <w:r>
                          <w:rPr>
                            <w:rStyle w:val="Strong"/>
                            <w:rFonts w:ascii="Tahoma" w:eastAsia="Times New Roman" w:hAnsi="Tahoma" w:cs="Tahoma"/>
                            <w:color w:val="303030"/>
                            <w:sz w:val="21"/>
                            <w:szCs w:val="21"/>
                          </w:rPr>
                          <w:t>10,700</w:t>
                        </w:r>
                        <w:r>
                          <w:rPr>
                            <w:rFonts w:ascii="Tahoma" w:eastAsia="Times New Roman" w:hAnsi="Tahoma" w:cs="Tahoma"/>
                            <w:color w:val="303030"/>
                            <w:sz w:val="21"/>
                            <w:szCs w:val="21"/>
                          </w:rPr>
                          <w:t xml:space="preserve"> contractors who declared their May 2022 FP34C submission figures through the Manage Your Service (MYS) portal by 7th June 2022 will receive earlier advance </w:t>
                        </w:r>
                        <w:r>
                          <w:rPr>
                            <w:rFonts w:ascii="Tahoma" w:eastAsia="Times New Roman" w:hAnsi="Tahoma" w:cs="Tahoma"/>
                            <w:color w:val="303030"/>
                            <w:sz w:val="21"/>
                            <w:szCs w:val="21"/>
                          </w:rPr>
                          <w:lastRenderedPageBreak/>
                          <w:t>payments next Monday (13th June 2022). This leaves around 500 contractors that will not receive earlier advance payments on 13th June because they submitted their FP34cs late (i.e. after 7th June).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408E8F03"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2489E3">
                            <v:rect id="_x0000_i1036" style="width:468pt;height:1.5pt" o:hrstd="t" o:hr="t" fillcolor="#a0a0a0" stroked="f"/>
                          </w:pict>
                        </w:r>
                      </w:p>
                      <w:p w14:paraId="38112C99" w14:textId="77777777" w:rsidR="00DC2DF9" w:rsidRDefault="00DC2DF9" w:rsidP="003178CB">
                        <w:pPr>
                          <w:pStyle w:val="Heading2"/>
                          <w:spacing w:after="0"/>
                          <w:rPr>
                            <w:rFonts w:eastAsia="Times New Roman"/>
                          </w:rPr>
                        </w:pPr>
                        <w:r>
                          <w:rPr>
                            <w:rFonts w:eastAsia="Times New Roman"/>
                          </w:rPr>
                          <w:t>Flowcharts on selection of HRT SSPs</w:t>
                        </w:r>
                      </w:p>
                      <w:p w14:paraId="05E8C081" w14:textId="1CE1E8FD"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&amp; Supply team has created easy to use flowcharts to assist pharmacists in selecting the correct SSP to use to manage the ongoing disruption to the supply of certain HRT medicines.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flowcharts also remind contractors of the correct SSP endorsement requirements (with examples) and charge status to apply to the Electronic Reimbursement Endorsement Messages (EREMs) before SSP claims are submitted for payment to the NHS Business Services Authority.  </w:t>
                        </w:r>
                      </w:p>
                      <w:p w14:paraId="21B3E6A9" w14:textId="77777777" w:rsidR="00F44C23" w:rsidRDefault="00F44C23" w:rsidP="003178CB">
                        <w:pPr>
                          <w:spacing w:line="264" w:lineRule="auto"/>
                          <w:rPr>
                            <w:rFonts w:ascii="Tahoma" w:eastAsia="Times New Roman" w:hAnsi="Tahoma" w:cs="Tahoma"/>
                            <w:color w:val="303030"/>
                            <w:sz w:val="21"/>
                            <w:szCs w:val="21"/>
                          </w:rPr>
                        </w:pPr>
                      </w:p>
                      <w:p w14:paraId="4D2DBCF3" w14:textId="77777777" w:rsidR="00DC2DF9" w:rsidRDefault="00DC2DF9" w:rsidP="003178CB">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See the HRT SSP flowcharts</w:t>
                          </w:r>
                        </w:hyperlink>
                      </w:p>
                      <w:p w14:paraId="6EB696EF" w14:textId="77777777" w:rsidR="00DC2DF9" w:rsidRDefault="00DC2DF9" w:rsidP="003178C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CA94D8">
                            <v:rect id="_x0000_i1037" style="width:468pt;height:1.5pt" o:hrstd="t" o:hr="t" fillcolor="#a0a0a0" stroked="f"/>
                          </w:pict>
                        </w:r>
                      </w:p>
                      <w:p w14:paraId="6DC934CD" w14:textId="77777777" w:rsidR="00DC2DF9" w:rsidRDefault="00DC2DF9" w:rsidP="003178CB">
                        <w:pPr>
                          <w:pStyle w:val="Heading2"/>
                          <w:spacing w:after="0"/>
                          <w:rPr>
                            <w:rFonts w:eastAsia="Times New Roman"/>
                          </w:rPr>
                        </w:pPr>
                        <w:r>
                          <w:rPr>
                            <w:rFonts w:eastAsia="Times New Roman"/>
                          </w:rPr>
                          <w:t>Reminder: PSNC guidance on completing the DSPTK for 2021/22 </w:t>
                        </w:r>
                      </w:p>
                      <w:p w14:paraId="5AFB7E8D" w14:textId="77777777" w:rsidR="00DC2DF9" w:rsidRDefault="00DC2DF9" w:rsidP="003178C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reminded to read PSNC's guidance on completing the 2021/22 Data Security and Protection Toolkit before starting their submission for this year.</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the PSNC guidance</w:t>
                          </w:r>
                        </w:hyperlink>
                      </w:p>
                    </w:tc>
                    <w:tc>
                      <w:tcPr>
                        <w:tcW w:w="150" w:type="dxa"/>
                        <w:vAlign w:val="center"/>
                        <w:hideMark/>
                      </w:tcPr>
                      <w:p w14:paraId="7D32DE94" w14:textId="77777777" w:rsidR="00DC2DF9" w:rsidRDefault="00DC2DF9" w:rsidP="003178CB">
                        <w:pPr>
                          <w:spacing w:line="264" w:lineRule="auto"/>
                          <w:rPr>
                            <w:rFonts w:ascii="Tahoma" w:hAnsi="Tahoma" w:cs="Tahoma"/>
                            <w:color w:val="303030"/>
                            <w:sz w:val="21"/>
                            <w:szCs w:val="21"/>
                          </w:rPr>
                        </w:pPr>
                      </w:p>
                    </w:tc>
                  </w:tr>
                  <w:tr w:rsidR="00DC2DF9" w14:paraId="416369F4" w14:textId="77777777">
                    <w:trPr>
                      <w:trHeight w:val="150"/>
                      <w:tblCellSpacing w:w="15" w:type="dxa"/>
                      <w:jc w:val="center"/>
                    </w:trPr>
                    <w:tc>
                      <w:tcPr>
                        <w:tcW w:w="150" w:type="dxa"/>
                        <w:vAlign w:val="center"/>
                        <w:hideMark/>
                      </w:tcPr>
                      <w:p w14:paraId="2E85EB5C" w14:textId="77777777" w:rsidR="00DC2DF9" w:rsidRDefault="00DC2DF9" w:rsidP="003178CB">
                        <w:pPr>
                          <w:spacing w:line="264" w:lineRule="auto"/>
                          <w:rPr>
                            <w:rFonts w:ascii="Times New Roman" w:eastAsia="Times New Roman" w:hAnsi="Times New Roman" w:cs="Times New Roman"/>
                            <w:sz w:val="20"/>
                            <w:szCs w:val="20"/>
                          </w:rPr>
                        </w:pPr>
                      </w:p>
                    </w:tc>
                    <w:tc>
                      <w:tcPr>
                        <w:tcW w:w="8700" w:type="dxa"/>
                        <w:vAlign w:val="center"/>
                        <w:hideMark/>
                      </w:tcPr>
                      <w:p w14:paraId="62A2F0CD" w14:textId="77777777" w:rsidR="00DC2DF9" w:rsidRDefault="00DC2DF9" w:rsidP="003178CB">
                        <w:pPr>
                          <w:spacing w:line="264" w:lineRule="auto"/>
                          <w:rPr>
                            <w:rFonts w:ascii="Times New Roman" w:eastAsia="Times New Roman" w:hAnsi="Times New Roman" w:cs="Times New Roman"/>
                            <w:sz w:val="20"/>
                            <w:szCs w:val="20"/>
                          </w:rPr>
                        </w:pPr>
                      </w:p>
                    </w:tc>
                    <w:tc>
                      <w:tcPr>
                        <w:tcW w:w="150" w:type="dxa"/>
                        <w:vAlign w:val="center"/>
                        <w:hideMark/>
                      </w:tcPr>
                      <w:p w14:paraId="1FFCD426" w14:textId="77777777" w:rsidR="00DC2DF9" w:rsidRDefault="00DC2DF9" w:rsidP="003178CB">
                        <w:pPr>
                          <w:spacing w:line="264" w:lineRule="auto"/>
                          <w:rPr>
                            <w:rFonts w:ascii="Times New Roman" w:eastAsia="Times New Roman" w:hAnsi="Times New Roman" w:cs="Times New Roman"/>
                            <w:sz w:val="20"/>
                            <w:szCs w:val="20"/>
                          </w:rPr>
                        </w:pPr>
                      </w:p>
                    </w:tc>
                  </w:tr>
                </w:tbl>
                <w:p w14:paraId="1DE49FAB" w14:textId="77777777" w:rsidR="00DC2DF9" w:rsidRDefault="00DC2DF9" w:rsidP="003178CB">
                  <w:pPr>
                    <w:spacing w:line="264" w:lineRule="auto"/>
                    <w:rPr>
                      <w:rFonts w:ascii="Times New Roman" w:eastAsia="Times New Roman" w:hAnsi="Times New Roman" w:cs="Times New Roman"/>
                      <w:sz w:val="20"/>
                      <w:szCs w:val="20"/>
                    </w:rPr>
                  </w:pPr>
                </w:p>
              </w:tc>
            </w:tr>
          </w:tbl>
          <w:p w14:paraId="0B655BD6" w14:textId="77777777" w:rsidR="00DC2DF9" w:rsidRDefault="00DC2DF9">
            <w:pPr>
              <w:jc w:val="center"/>
              <w:rPr>
                <w:rFonts w:ascii="Times New Roman" w:eastAsia="Times New Roman" w:hAnsi="Times New Roman" w:cs="Times New Roman"/>
                <w:sz w:val="20"/>
                <w:szCs w:val="20"/>
              </w:rPr>
            </w:pPr>
          </w:p>
        </w:tc>
      </w:tr>
      <w:tr w:rsidR="00DC2DF9" w14:paraId="15501233" w14:textId="77777777" w:rsidTr="00DC2DF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C2DF9" w14:paraId="1FAA9DA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C2DF9" w14:paraId="1BB0CEE3" w14:textId="77777777">
                    <w:trPr>
                      <w:tblCellSpacing w:w="0" w:type="dxa"/>
                      <w:jc w:val="center"/>
                    </w:trPr>
                    <w:tc>
                      <w:tcPr>
                        <w:tcW w:w="3000" w:type="dxa"/>
                        <w:tcMar>
                          <w:top w:w="30" w:type="dxa"/>
                          <w:left w:w="75" w:type="dxa"/>
                          <w:bottom w:w="30" w:type="dxa"/>
                          <w:right w:w="75" w:type="dxa"/>
                        </w:tcMar>
                        <w:hideMark/>
                      </w:tcPr>
                      <w:p w14:paraId="4A3DA6D2" w14:textId="77777777" w:rsidR="00DC2DF9" w:rsidRDefault="00DC2DF9">
                        <w:pPr>
                          <w:pStyle w:val="Heading4"/>
                          <w:jc w:val="center"/>
                          <w:rPr>
                            <w:rFonts w:eastAsia="Times New Roman"/>
                          </w:rPr>
                        </w:pPr>
                        <w:r>
                          <w:rPr>
                            <w:rFonts w:eastAsia="Times New Roman"/>
                          </w:rPr>
                          <w:lastRenderedPageBreak/>
                          <w:t>Pharmaceutical Services Negotiating Committee</w:t>
                        </w:r>
                      </w:p>
                      <w:p w14:paraId="3A3591AB" w14:textId="5FE061A8" w:rsidR="00DC2DF9" w:rsidRDefault="00DC2DF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BBCF1F7" wp14:editId="4D30B018">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9B8638" wp14:editId="322E97E3">
                              <wp:extent cx="605790" cy="308610"/>
                              <wp:effectExtent l="0" t="0" r="3810" b="1524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78E4FD" wp14:editId="14600BE9">
                              <wp:extent cx="605790" cy="308610"/>
                              <wp:effectExtent l="0" t="0" r="3810" b="1524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F5A529" wp14:editId="406EAFE5">
                              <wp:extent cx="605790" cy="308610"/>
                              <wp:effectExtent l="0" t="0" r="3810" b="1524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4221C9F" w14:textId="77777777" w:rsidR="00DC2DF9" w:rsidRDefault="00DC2DF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C2DF9" w14:paraId="66E6F26C" w14:textId="77777777" w:rsidTr="003178CB">
                    <w:trPr>
                      <w:trHeight w:val="59"/>
                      <w:tblCellSpacing w:w="0" w:type="dxa"/>
                      <w:jc w:val="center"/>
                    </w:trPr>
                    <w:tc>
                      <w:tcPr>
                        <w:tcW w:w="9000" w:type="dxa"/>
                        <w:tcMar>
                          <w:top w:w="150" w:type="dxa"/>
                          <w:left w:w="0" w:type="dxa"/>
                          <w:bottom w:w="0" w:type="dxa"/>
                          <w:right w:w="0" w:type="dxa"/>
                        </w:tcMar>
                        <w:vAlign w:val="center"/>
                        <w:hideMark/>
                      </w:tcPr>
                      <w:p w14:paraId="68FDAD1C" w14:textId="04D7B668" w:rsidR="00DC2DF9" w:rsidRDefault="00DC2DF9" w:rsidP="003178CB">
                        <w:pPr>
                          <w:rPr>
                            <w:rFonts w:ascii="Arial" w:eastAsia="Times New Roman" w:hAnsi="Arial" w:cs="Arial"/>
                            <w:color w:val="FFFFFF"/>
                            <w:sz w:val="17"/>
                            <w:szCs w:val="17"/>
                          </w:rPr>
                        </w:pPr>
                      </w:p>
                    </w:tc>
                  </w:tr>
                </w:tbl>
                <w:p w14:paraId="44EEFE9D" w14:textId="77777777" w:rsidR="00DC2DF9" w:rsidRDefault="00DC2DF9">
                  <w:pPr>
                    <w:jc w:val="center"/>
                    <w:rPr>
                      <w:rFonts w:ascii="Times New Roman" w:eastAsia="Times New Roman" w:hAnsi="Times New Roman" w:cs="Times New Roman"/>
                      <w:sz w:val="20"/>
                      <w:szCs w:val="20"/>
                    </w:rPr>
                  </w:pPr>
                </w:p>
              </w:tc>
            </w:tr>
          </w:tbl>
          <w:p w14:paraId="6F6F20F4" w14:textId="77777777" w:rsidR="00DC2DF9" w:rsidRDefault="00DC2DF9">
            <w:pPr>
              <w:jc w:val="center"/>
              <w:rPr>
                <w:rFonts w:ascii="Times New Roman" w:eastAsia="Times New Roman" w:hAnsi="Times New Roman" w:cs="Times New Roman"/>
                <w:sz w:val="20"/>
                <w:szCs w:val="20"/>
              </w:rPr>
            </w:pPr>
          </w:p>
        </w:tc>
      </w:tr>
    </w:tbl>
    <w:p w14:paraId="3BD6F52F" w14:textId="5534D3FB" w:rsidR="00DC2DF9" w:rsidRDefault="00DC2DF9" w:rsidP="00DC2DF9">
      <w:pPr>
        <w:rPr>
          <w:rFonts w:eastAsia="Times New Roman"/>
        </w:rPr>
      </w:pPr>
      <w:r>
        <w:rPr>
          <w:rFonts w:eastAsia="Times New Roman"/>
          <w:noProof/>
        </w:rPr>
        <w:drawing>
          <wp:inline distT="0" distB="0" distL="0" distR="0" wp14:anchorId="35CDFB46" wp14:editId="692896FA">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F6D64E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F9"/>
    <w:rsid w:val="003178CB"/>
    <w:rsid w:val="00DC2DF9"/>
    <w:rsid w:val="00DD1890"/>
    <w:rsid w:val="00F4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4211"/>
  <w15:chartTrackingRefBased/>
  <w15:docId w15:val="{47F33983-6585-4A07-B859-B3A780AD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F9"/>
    <w:rPr>
      <w:rFonts w:ascii="Calibri" w:hAnsi="Calibri" w:cs="Calibri"/>
      <w:lang w:eastAsia="en-GB"/>
    </w:rPr>
  </w:style>
  <w:style w:type="paragraph" w:styleId="Heading1">
    <w:name w:val="heading 1"/>
    <w:basedOn w:val="Normal"/>
    <w:link w:val="Heading1Char"/>
    <w:uiPriority w:val="9"/>
    <w:qFormat/>
    <w:rsid w:val="00DC2DF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C2DF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C2DF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F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C2DF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C2DF9"/>
    <w:rPr>
      <w:rFonts w:ascii="Tahoma" w:hAnsi="Tahoma" w:cs="Tahoma"/>
      <w:b/>
      <w:bCs/>
      <w:color w:val="FFFFFF"/>
      <w:sz w:val="18"/>
      <w:szCs w:val="18"/>
      <w:lang w:eastAsia="en-GB"/>
    </w:rPr>
  </w:style>
  <w:style w:type="paragraph" w:styleId="NormalWeb">
    <w:name w:val="Normal (Web)"/>
    <w:basedOn w:val="Normal"/>
    <w:uiPriority w:val="99"/>
    <w:semiHidden/>
    <w:unhideWhenUsed/>
    <w:rsid w:val="00DC2DF9"/>
    <w:pPr>
      <w:spacing w:before="100" w:beforeAutospacing="1" w:after="100" w:afterAutospacing="1"/>
    </w:pPr>
  </w:style>
  <w:style w:type="character" w:styleId="Strong">
    <w:name w:val="Strong"/>
    <w:basedOn w:val="DefaultParagraphFont"/>
    <w:uiPriority w:val="22"/>
    <w:qFormat/>
    <w:rsid w:val="00DC2DF9"/>
    <w:rPr>
      <w:b/>
      <w:bCs/>
    </w:rPr>
  </w:style>
  <w:style w:type="character" w:styleId="Hyperlink">
    <w:name w:val="Hyperlink"/>
    <w:basedOn w:val="DefaultParagraphFont"/>
    <w:uiPriority w:val="99"/>
    <w:semiHidden/>
    <w:unhideWhenUsed/>
    <w:rsid w:val="00DC2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660387fed&amp;e=d19e9fd41c" TargetMode="External"/><Relationship Id="rId13" Type="http://schemas.openxmlformats.org/officeDocument/2006/relationships/hyperlink" Target="https://psnc.us7.list-manage.com/track/click?u=86d41ab7fa4c7c2c5d7210782&amp;id=379c9b367e&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9a9981236&amp;e=d19e9fd41c" TargetMode="External"/><Relationship Id="rId17" Type="http://schemas.openxmlformats.org/officeDocument/2006/relationships/hyperlink" Target="https://psnc.us7.list-manage.com/track/click?u=86d41ab7fa4c7c2c5d7210782&amp;id=1463039799&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084ae5149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9e789c230&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277e440204&amp;e=d19e9fd41c" TargetMode="External"/><Relationship Id="rId28" Type="http://schemas.openxmlformats.org/officeDocument/2006/relationships/image" Target="https://psnc.us7.list-manage.com/track/open.php?u=86d41ab7fa4c7c2c5d7210782&amp;id=ebfdd0673f&amp;e=d19e9fd41c" TargetMode="External"/><Relationship Id="rId10" Type="http://schemas.openxmlformats.org/officeDocument/2006/relationships/hyperlink" Target="https://psnc.us7.list-manage.com/track/click?u=86d41ab7fa4c7c2c5d7210782&amp;id=5f2a11d77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412acc0b7&amp;e=d19e9fd41c" TargetMode="External"/><Relationship Id="rId14" Type="http://schemas.openxmlformats.org/officeDocument/2006/relationships/hyperlink" Target="https://psnc.us7.list-manage.com/track/click?u=86d41ab7fa4c7c2c5d7210782&amp;id=3fc6ef59e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2022-06-13T06:57:00Z</dcterms:created>
  <dcterms:modified xsi:type="dcterms:W3CDTF">2022-06-13T07:08:00Z</dcterms:modified>
</cp:coreProperties>
</file>