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77AA5" w14:paraId="58EA1958" w14:textId="77777777" w:rsidTr="00877AA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77AA5" w14:paraId="629C322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77AA5" w14:paraId="34E3198F" w14:textId="77777777">
                    <w:trPr>
                      <w:tblCellSpacing w:w="0" w:type="dxa"/>
                      <w:jc w:val="center"/>
                    </w:trPr>
                    <w:tc>
                      <w:tcPr>
                        <w:tcW w:w="3000" w:type="dxa"/>
                        <w:hideMark/>
                      </w:tcPr>
                      <w:p w14:paraId="3E754BA0" w14:textId="2BB05F66" w:rsidR="00877AA5" w:rsidRDefault="00877AA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585407" w14:textId="77777777" w:rsidR="00877AA5" w:rsidRDefault="00877AA5">
                  <w:pPr>
                    <w:jc w:val="center"/>
                    <w:rPr>
                      <w:rFonts w:ascii="Times New Roman" w:eastAsia="Times New Roman" w:hAnsi="Times New Roman" w:cs="Times New Roman"/>
                      <w:sz w:val="20"/>
                      <w:szCs w:val="20"/>
                    </w:rPr>
                  </w:pPr>
                </w:p>
              </w:tc>
            </w:tr>
            <w:tr w:rsidR="00877AA5" w14:paraId="1E7EB72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77AA5" w14:paraId="138AE77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40233D2" w14:textId="421949C9" w:rsidR="00877AA5" w:rsidRDefault="00877AA5">
                        <w:pPr>
                          <w:jc w:val="center"/>
                          <w:rPr>
                            <w:rFonts w:eastAsia="Times New Roman"/>
                          </w:rPr>
                        </w:pPr>
                        <w:r>
                          <w:rPr>
                            <w:rFonts w:eastAsia="Times New Roman"/>
                            <w:noProof/>
                          </w:rPr>
                          <w:drawing>
                            <wp:inline distT="0" distB="0" distL="0" distR="0" wp14:anchorId="34DB2E91" wp14:editId="38DAEF40">
                              <wp:extent cx="9334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77AA5" w14:paraId="0634EBC2" w14:textId="77777777">
                    <w:trPr>
                      <w:tblCellSpacing w:w="0" w:type="dxa"/>
                    </w:trPr>
                    <w:tc>
                      <w:tcPr>
                        <w:tcW w:w="0" w:type="auto"/>
                        <w:vMerge/>
                        <w:tcBorders>
                          <w:top w:val="nil"/>
                          <w:left w:val="nil"/>
                          <w:bottom w:val="single" w:sz="2" w:space="0" w:color="FFFFFF"/>
                          <w:right w:val="nil"/>
                        </w:tcBorders>
                        <w:vAlign w:val="center"/>
                        <w:hideMark/>
                      </w:tcPr>
                      <w:p w14:paraId="52DDA01C" w14:textId="77777777" w:rsidR="00877AA5" w:rsidRDefault="00877AA5">
                        <w:pPr>
                          <w:rPr>
                            <w:rFonts w:eastAsia="Times New Roman"/>
                          </w:rPr>
                        </w:pPr>
                      </w:p>
                    </w:tc>
                    <w:tc>
                      <w:tcPr>
                        <w:tcW w:w="3450" w:type="dxa"/>
                        <w:tcBorders>
                          <w:top w:val="nil"/>
                          <w:left w:val="nil"/>
                          <w:bottom w:val="nil"/>
                          <w:right w:val="nil"/>
                        </w:tcBorders>
                        <w:vAlign w:val="center"/>
                        <w:hideMark/>
                      </w:tcPr>
                      <w:p w14:paraId="1B5425A5" w14:textId="77777777" w:rsidR="00877AA5" w:rsidRDefault="00877AA5">
                        <w:pPr>
                          <w:pStyle w:val="Heading1"/>
                          <w:rPr>
                            <w:rFonts w:eastAsia="Times New Roman"/>
                          </w:rPr>
                        </w:pPr>
                        <w:r>
                          <w:rPr>
                            <w:rFonts w:eastAsia="Times New Roman"/>
                          </w:rPr>
                          <w:t>PSNC Newsletter</w:t>
                        </w:r>
                      </w:p>
                    </w:tc>
                  </w:tr>
                  <w:tr w:rsidR="00877AA5" w14:paraId="6439EFC8" w14:textId="77777777">
                    <w:trPr>
                      <w:tblCellSpacing w:w="0" w:type="dxa"/>
                    </w:trPr>
                    <w:tc>
                      <w:tcPr>
                        <w:tcW w:w="0" w:type="auto"/>
                        <w:vMerge/>
                        <w:tcBorders>
                          <w:top w:val="nil"/>
                          <w:left w:val="nil"/>
                          <w:bottom w:val="single" w:sz="2" w:space="0" w:color="FFFFFF"/>
                          <w:right w:val="nil"/>
                        </w:tcBorders>
                        <w:vAlign w:val="center"/>
                        <w:hideMark/>
                      </w:tcPr>
                      <w:p w14:paraId="37452986" w14:textId="77777777" w:rsidR="00877AA5" w:rsidRDefault="00877AA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356CE6C" w14:textId="77777777" w:rsidR="00877AA5" w:rsidRDefault="00877AA5">
                        <w:pPr>
                          <w:pStyle w:val="Heading2"/>
                          <w:rPr>
                            <w:rFonts w:eastAsia="Times New Roman"/>
                            <w:color w:val="93378A"/>
                          </w:rPr>
                        </w:pPr>
                        <w:r>
                          <w:rPr>
                            <w:rFonts w:eastAsia="Times New Roman"/>
                            <w:color w:val="93378A"/>
                          </w:rPr>
                          <w:t>Wednesday 1st June 2022</w:t>
                        </w:r>
                      </w:p>
                    </w:tc>
                  </w:tr>
                </w:tbl>
                <w:p w14:paraId="1DB0B0E3" w14:textId="77777777" w:rsidR="00877AA5" w:rsidRDefault="00877AA5">
                  <w:pPr>
                    <w:rPr>
                      <w:rFonts w:ascii="Times New Roman" w:eastAsia="Times New Roman" w:hAnsi="Times New Roman" w:cs="Times New Roman"/>
                      <w:sz w:val="20"/>
                      <w:szCs w:val="20"/>
                    </w:rPr>
                  </w:pPr>
                </w:p>
              </w:tc>
            </w:tr>
            <w:tr w:rsidR="00877AA5" w14:paraId="3CE84DE7" w14:textId="77777777">
              <w:tblPrEx>
                <w:shd w:val="clear" w:color="auto" w:fill="auto"/>
              </w:tblPrEx>
              <w:trPr>
                <w:tblCellSpacing w:w="0" w:type="dxa"/>
                <w:jc w:val="center"/>
              </w:trPr>
              <w:tc>
                <w:tcPr>
                  <w:tcW w:w="9000" w:type="dxa"/>
                  <w:hideMark/>
                </w:tcPr>
                <w:p w14:paraId="7E451FF7" w14:textId="583C88E0" w:rsidR="00877AA5" w:rsidRDefault="00877AA5">
                  <w:pPr>
                    <w:rPr>
                      <w:rFonts w:eastAsia="Times New Roman"/>
                    </w:rPr>
                  </w:pPr>
                  <w:r>
                    <w:rPr>
                      <w:rFonts w:eastAsia="Times New Roman"/>
                      <w:noProof/>
                    </w:rPr>
                    <w:drawing>
                      <wp:inline distT="0" distB="0" distL="0" distR="0" wp14:anchorId="579641D2" wp14:editId="7E9FEC63">
                        <wp:extent cx="57150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77AA5" w14:paraId="4E08243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77AA5" w14:paraId="744E9E22" w14:textId="77777777">
                    <w:trPr>
                      <w:trHeight w:val="150"/>
                      <w:tblCellSpacing w:w="15" w:type="dxa"/>
                      <w:jc w:val="center"/>
                    </w:trPr>
                    <w:tc>
                      <w:tcPr>
                        <w:tcW w:w="150" w:type="dxa"/>
                        <w:vAlign w:val="center"/>
                        <w:hideMark/>
                      </w:tcPr>
                      <w:p w14:paraId="37016478" w14:textId="77777777" w:rsidR="00877AA5" w:rsidRDefault="00877AA5">
                        <w:pPr>
                          <w:rPr>
                            <w:rFonts w:eastAsia="Times New Roman"/>
                          </w:rPr>
                        </w:pPr>
                      </w:p>
                    </w:tc>
                    <w:tc>
                      <w:tcPr>
                        <w:tcW w:w="8700" w:type="dxa"/>
                        <w:vAlign w:val="center"/>
                        <w:hideMark/>
                      </w:tcPr>
                      <w:p w14:paraId="4B78295C" w14:textId="77777777" w:rsidR="00877AA5" w:rsidRDefault="00877AA5">
                        <w:pPr>
                          <w:rPr>
                            <w:rFonts w:ascii="Times New Roman" w:eastAsia="Times New Roman" w:hAnsi="Times New Roman" w:cs="Times New Roman"/>
                            <w:sz w:val="20"/>
                            <w:szCs w:val="20"/>
                          </w:rPr>
                        </w:pPr>
                      </w:p>
                    </w:tc>
                    <w:tc>
                      <w:tcPr>
                        <w:tcW w:w="150" w:type="dxa"/>
                        <w:vAlign w:val="center"/>
                        <w:hideMark/>
                      </w:tcPr>
                      <w:p w14:paraId="5BD77920" w14:textId="77777777" w:rsidR="00877AA5" w:rsidRDefault="00877AA5">
                        <w:pPr>
                          <w:rPr>
                            <w:rFonts w:ascii="Times New Roman" w:eastAsia="Times New Roman" w:hAnsi="Times New Roman" w:cs="Times New Roman"/>
                            <w:sz w:val="20"/>
                            <w:szCs w:val="20"/>
                          </w:rPr>
                        </w:pPr>
                      </w:p>
                    </w:tc>
                  </w:tr>
                  <w:tr w:rsidR="00877AA5" w14:paraId="06DCDC63" w14:textId="77777777">
                    <w:trPr>
                      <w:tblCellSpacing w:w="15" w:type="dxa"/>
                      <w:jc w:val="center"/>
                    </w:trPr>
                    <w:tc>
                      <w:tcPr>
                        <w:tcW w:w="150" w:type="dxa"/>
                        <w:vAlign w:val="center"/>
                        <w:hideMark/>
                      </w:tcPr>
                      <w:p w14:paraId="07157292" w14:textId="77777777" w:rsidR="00877AA5" w:rsidRDefault="00877AA5">
                        <w:pPr>
                          <w:rPr>
                            <w:rFonts w:ascii="Times New Roman" w:eastAsia="Times New Roman" w:hAnsi="Times New Roman" w:cs="Times New Roman"/>
                            <w:sz w:val="20"/>
                            <w:szCs w:val="20"/>
                          </w:rPr>
                        </w:pPr>
                      </w:p>
                    </w:tc>
                    <w:tc>
                      <w:tcPr>
                        <w:tcW w:w="8700" w:type="dxa"/>
                        <w:vAlign w:val="center"/>
                        <w:hideMark/>
                      </w:tcPr>
                      <w:p w14:paraId="5CD8F406" w14:textId="77777777" w:rsidR="00877AA5" w:rsidRDefault="00877AA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A1671BC" w14:textId="77777777" w:rsidR="00877AA5" w:rsidRDefault="00877A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A680AA1">
                            <v:rect id="_x0000_i1031" style="width:468pt;height:1.5pt" o:hralign="center" o:hrstd="t" o:hr="t" fillcolor="#a0a0a0" stroked="f"/>
                          </w:pict>
                        </w:r>
                      </w:p>
                      <w:p w14:paraId="1A15EDD3" w14:textId="77777777" w:rsidR="00877AA5" w:rsidRDefault="00877AA5">
                        <w:pPr>
                          <w:pStyle w:val="Heading2"/>
                          <w:rPr>
                            <w:rFonts w:eastAsia="Times New Roman"/>
                          </w:rPr>
                        </w:pPr>
                        <w:r>
                          <w:rPr>
                            <w:rFonts w:eastAsia="Times New Roman"/>
                          </w:rPr>
                          <w:t>In this update: Pharmacies deliver 2m more flu jabs in 2021/22; updates to live SSPs list; vote now on RSG proposals; extended FP34C submission deadline.</w:t>
                        </w:r>
                      </w:p>
                      <w:p w14:paraId="565177CA" w14:textId="77777777" w:rsidR="00877AA5" w:rsidRDefault="00877A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6C8733">
                            <v:rect id="_x0000_i1032" style="width:468pt;height:1.5pt" o:hralign="center" o:hrstd="t" o:hr="t" fillcolor="#a0a0a0" stroked="f"/>
                          </w:pict>
                        </w:r>
                      </w:p>
                      <w:p w14:paraId="0E6D6CCF" w14:textId="77777777" w:rsidR="00877AA5" w:rsidRDefault="00877AA5" w:rsidP="00877AA5">
                        <w:pPr>
                          <w:pStyle w:val="Heading2"/>
                          <w:spacing w:after="0"/>
                          <w:rPr>
                            <w:rFonts w:eastAsia="Times New Roman"/>
                          </w:rPr>
                        </w:pPr>
                        <w:r>
                          <w:rPr>
                            <w:rFonts w:eastAsia="Times New Roman"/>
                          </w:rPr>
                          <w:t>Over 2 million more flu vaccinations administered by community pharmacists in 2021/22</w:t>
                        </w:r>
                      </w:p>
                      <w:p w14:paraId="16F3EE4F" w14:textId="2848931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teams have administered 4.85 million flu vaccinations under the national Flu Vaccination Service in 2021/22. This is over 2 million more flu vaccinations than last year. </w:t>
                        </w:r>
                      </w:p>
                      <w:p w14:paraId="033F9454" w14:textId="77777777" w:rsidR="00877AA5" w:rsidRDefault="00877AA5" w:rsidP="00877AA5">
                        <w:pPr>
                          <w:spacing w:line="264" w:lineRule="auto"/>
                          <w:rPr>
                            <w:rFonts w:ascii="Tahoma" w:eastAsia="Times New Roman" w:hAnsi="Tahoma" w:cs="Tahoma"/>
                            <w:color w:val="303030"/>
                            <w:sz w:val="21"/>
                            <w:szCs w:val="21"/>
                          </w:rPr>
                        </w:pPr>
                      </w:p>
                      <w:p w14:paraId="270A0D84" w14:textId="392A0C1E" w:rsidR="00877AA5" w:rsidRDefault="00877AA5" w:rsidP="00877AA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Despite the growing pressures on community pharmacy teams, the Flu Vaccination Service has continued to go from strength to strength since its launch in 2015, seeing year-on-year growth in the number of vaccinations administered.</w:t>
                        </w:r>
                      </w:p>
                      <w:p w14:paraId="1D1FBE2F" w14:textId="77777777" w:rsidR="00877AA5" w:rsidRDefault="00877AA5" w:rsidP="00877AA5">
                        <w:pPr>
                          <w:pStyle w:val="NormalWeb"/>
                          <w:spacing w:before="0" w:beforeAutospacing="0" w:after="0" w:afterAutospacing="0" w:line="264" w:lineRule="auto"/>
                          <w:rPr>
                            <w:rFonts w:ascii="Tahoma" w:hAnsi="Tahoma" w:cs="Tahoma"/>
                            <w:color w:val="303030"/>
                            <w:sz w:val="21"/>
                            <w:szCs w:val="21"/>
                          </w:rPr>
                        </w:pPr>
                      </w:p>
                      <w:p w14:paraId="47B53900" w14:textId="77777777" w:rsidR="00877AA5" w:rsidRDefault="00877AA5" w:rsidP="00877AA5">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0E5889BF"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28B78A9">
                            <v:rect id="_x0000_i1033" style="width:468pt;height:1.5pt" o:hrstd="t" o:hr="t" fillcolor="#a0a0a0" stroked="f"/>
                          </w:pict>
                        </w:r>
                      </w:p>
                      <w:p w14:paraId="75A92892" w14:textId="77777777" w:rsidR="00877AA5" w:rsidRDefault="00877AA5" w:rsidP="00877AA5">
                        <w:pPr>
                          <w:pStyle w:val="Heading2"/>
                          <w:spacing w:after="0"/>
                          <w:rPr>
                            <w:rFonts w:eastAsia="Times New Roman"/>
                          </w:rPr>
                        </w:pPr>
                        <w:r>
                          <w:rPr>
                            <w:rFonts w:eastAsia="Times New Roman"/>
                          </w:rPr>
                          <w:t>New SSPs issued and update to SSPs for </w:t>
                        </w:r>
                        <w:proofErr w:type="spellStart"/>
                        <w:r>
                          <w:rPr>
                            <w:rFonts w:eastAsia="Times New Roman"/>
                          </w:rPr>
                          <w:t>Oestrogel</w:t>
                        </w:r>
                        <w:proofErr w:type="spellEnd"/>
                      </w:p>
                      <w:p w14:paraId="75864E1D" w14:textId="65CFCF0A"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issued two new Serious Shortage Protocols (SSPs) for Lipitor 10mg chewable tablets (SSP032) and Paracetamol 120mg suppositories (SSP033). Pharmacists are required to read and comply with the requirements outlined within these SSPs.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SSP032 and SSP033</w:t>
                          </w:r>
                        </w:hyperlink>
                        <w:r>
                          <w:rPr>
                            <w:rFonts w:ascii="Tahoma" w:eastAsia="Times New Roman" w:hAnsi="Tahoma" w:cs="Tahoma"/>
                            <w:color w:val="303030"/>
                            <w:sz w:val="21"/>
                            <w:szCs w:val="21"/>
                          </w:rPr>
                          <w:br/>
                        </w:r>
                        <w:r>
                          <w:rPr>
                            <w:rFonts w:ascii="Tahoma" w:eastAsia="Times New Roman" w:hAnsi="Tahoma" w:cs="Tahoma"/>
                            <w:color w:val="303030"/>
                            <w:sz w:val="21"/>
                            <w:szCs w:val="21"/>
                          </w:rPr>
                          <w:br/>
                          <w:t xml:space="preserve">DHSC has also updated Annex A of SSP022 and SSP023 for </w:t>
                        </w:r>
                        <w:proofErr w:type="spellStart"/>
                        <w:r>
                          <w:rPr>
                            <w:rFonts w:ascii="Tahoma" w:eastAsia="Times New Roman" w:hAnsi="Tahoma" w:cs="Tahoma"/>
                            <w:color w:val="303030"/>
                            <w:sz w:val="21"/>
                            <w:szCs w:val="21"/>
                          </w:rPr>
                          <w:t>Oestrogel</w:t>
                        </w:r>
                        <w:proofErr w:type="spellEnd"/>
                        <w:r>
                          <w:rPr>
                            <w:rFonts w:ascii="Tahoma" w:eastAsia="Times New Roman" w:hAnsi="Tahoma" w:cs="Tahoma"/>
                            <w:color w:val="303030"/>
                            <w:sz w:val="21"/>
                            <w:szCs w:val="21"/>
                          </w:rPr>
                          <w:t xml:space="preserve"> Pump-Pack 0.06% gel to include a dose conversion to a specific alternative </w:t>
                        </w:r>
                        <w:proofErr w:type="spellStart"/>
                        <w:r>
                          <w:rPr>
                            <w:rFonts w:ascii="Tahoma" w:eastAsia="Times New Roman" w:hAnsi="Tahoma" w:cs="Tahoma"/>
                            <w:color w:val="303030"/>
                            <w:sz w:val="21"/>
                            <w:szCs w:val="21"/>
                          </w:rPr>
                          <w:t>Estradiol</w:t>
                        </w:r>
                        <w:proofErr w:type="spellEnd"/>
                        <w:r>
                          <w:rPr>
                            <w:rFonts w:ascii="Tahoma" w:eastAsia="Times New Roman" w:hAnsi="Tahoma" w:cs="Tahoma"/>
                            <w:color w:val="303030"/>
                            <w:sz w:val="21"/>
                            <w:szCs w:val="21"/>
                          </w:rPr>
                          <w:t xml:space="preserve"> patch for patients who use 1 pump of </w:t>
                        </w:r>
                        <w:proofErr w:type="spellStart"/>
                        <w:r>
                          <w:rPr>
                            <w:rFonts w:ascii="Tahoma" w:eastAsia="Times New Roman" w:hAnsi="Tahoma" w:cs="Tahoma"/>
                            <w:color w:val="303030"/>
                            <w:sz w:val="21"/>
                            <w:szCs w:val="21"/>
                          </w:rPr>
                          <w:t>Oestrogel</w:t>
                        </w:r>
                        <w:proofErr w:type="spellEnd"/>
                        <w:r>
                          <w:rPr>
                            <w:rFonts w:ascii="Tahoma" w:eastAsia="Times New Roman" w:hAnsi="Tahoma" w:cs="Tahoma"/>
                            <w:color w:val="303030"/>
                            <w:sz w:val="21"/>
                            <w:szCs w:val="21"/>
                          </w:rPr>
                          <w:t xml:space="preserve"> daily. </w:t>
                        </w:r>
                      </w:p>
                      <w:p w14:paraId="704694C9" w14:textId="77777777" w:rsidR="00877AA5" w:rsidRDefault="00877AA5" w:rsidP="00877AA5">
                        <w:pPr>
                          <w:spacing w:line="264" w:lineRule="auto"/>
                          <w:rPr>
                            <w:rFonts w:ascii="Tahoma" w:eastAsia="Times New Roman" w:hAnsi="Tahoma" w:cs="Tahoma"/>
                            <w:color w:val="303030"/>
                            <w:sz w:val="21"/>
                            <w:szCs w:val="21"/>
                          </w:rPr>
                        </w:pPr>
                      </w:p>
                      <w:p w14:paraId="3C6FB016" w14:textId="77777777" w:rsidR="00877AA5" w:rsidRDefault="00877AA5" w:rsidP="00877AA5">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w:t>
                          </w:r>
                        </w:hyperlink>
                      </w:p>
                      <w:p w14:paraId="23C31815"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A0A9AA">
                            <v:rect id="_x0000_i1034" style="width:468pt;height:1.5pt" o:hrstd="t" o:hr="t" fillcolor="#a0a0a0" stroked="f"/>
                          </w:pict>
                        </w:r>
                      </w:p>
                      <w:p w14:paraId="0E7F9A2D" w14:textId="77777777" w:rsidR="00877AA5" w:rsidRDefault="00877AA5" w:rsidP="00877AA5">
                        <w:pPr>
                          <w:pStyle w:val="Heading2"/>
                          <w:spacing w:after="0"/>
                          <w:rPr>
                            <w:rFonts w:eastAsia="Times New Roman"/>
                          </w:rPr>
                        </w:pPr>
                        <w:r>
                          <w:rPr>
                            <w:rFonts w:eastAsia="Times New Roman"/>
                          </w:rPr>
                          <w:t>Vote now on the proposals for the future of PSNC and the LPCs</w:t>
                        </w:r>
                      </w:p>
                      <w:p w14:paraId="504A5AD5"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that they have until </w:t>
                        </w:r>
                        <w:r>
                          <w:rPr>
                            <w:rStyle w:val="Strong"/>
                            <w:rFonts w:ascii="Tahoma" w:eastAsia="Times New Roman" w:hAnsi="Tahoma" w:cs="Tahoma"/>
                            <w:color w:val="303030"/>
                            <w:sz w:val="21"/>
                            <w:szCs w:val="21"/>
                          </w:rPr>
                          <w:t>23.59 on</w:t>
                        </w:r>
                        <w:r>
                          <w:rPr>
                            <w:rFonts w:ascii="Tahoma" w:eastAsia="Times New Roman" w:hAnsi="Tahoma" w:cs="Tahoma"/>
                            <w:color w:val="303030"/>
                            <w:sz w:val="21"/>
                            <w:szCs w:val="21"/>
                          </w:rPr>
                          <w:t xml:space="preserve"> </w:t>
                        </w:r>
                        <w:r>
                          <w:rPr>
                            <w:rStyle w:val="Strong"/>
                            <w:rFonts w:ascii="Tahoma" w:eastAsia="Times New Roman" w:hAnsi="Tahoma" w:cs="Tahoma"/>
                            <w:color w:val="303030"/>
                            <w:sz w:val="21"/>
                            <w:szCs w:val="21"/>
                          </w:rPr>
                          <w:t>Friday 17th June 2022</w:t>
                        </w:r>
                        <w:r>
                          <w:rPr>
                            <w:rFonts w:ascii="Tahoma" w:eastAsia="Times New Roman" w:hAnsi="Tahoma" w:cs="Tahoma"/>
                            <w:color w:val="303030"/>
                            <w:sz w:val="21"/>
                            <w:szCs w:val="21"/>
                          </w:rPr>
                          <w:t xml:space="preserve"> to vote on the Pharmacy Review Steering Group proposals for the future of </w:t>
                        </w:r>
                        <w:r>
                          <w:rPr>
                            <w:rFonts w:ascii="Tahoma" w:eastAsia="Times New Roman" w:hAnsi="Tahoma" w:cs="Tahoma"/>
                            <w:color w:val="303030"/>
                            <w:sz w:val="21"/>
                            <w:szCs w:val="21"/>
                          </w:rPr>
                          <w:lastRenderedPageBreak/>
                          <w:t>PSNC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t>To help contractors to make an informed decision when voting, the RSG has produced several resources including a two-page summary, explanatory animations, and answering contractors' questions in various formats.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tooltip="https://pharmacy-review.org/" w:history="1">
                          <w:r>
                            <w:rPr>
                              <w:rStyle w:val="Hyperlink"/>
                              <w:rFonts w:ascii="Tahoma" w:eastAsia="Times New Roman" w:hAnsi="Tahoma" w:cs="Tahoma"/>
                              <w:b/>
                              <w:bCs/>
                              <w:color w:val="4E3487"/>
                              <w:sz w:val="21"/>
                              <w:szCs w:val="21"/>
                            </w:rPr>
                            <w:t>View all the information and resources on the RSG's website</w:t>
                          </w:r>
                        </w:hyperlink>
                        <w:r>
                          <w:rPr>
                            <w:rFonts w:ascii="Tahoma" w:eastAsia="Times New Roman" w:hAnsi="Tahoma" w:cs="Tahoma"/>
                            <w:color w:val="303030"/>
                            <w:sz w:val="21"/>
                            <w:szCs w:val="21"/>
                          </w:rPr>
                          <w:t xml:space="preserve"> </w:t>
                        </w:r>
                      </w:p>
                      <w:p w14:paraId="4F8B76D8"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999010">
                            <v:rect id="_x0000_i1035" style="width:468pt;height:1.5pt" o:hrstd="t" o:hr="t" fillcolor="#a0a0a0" stroked="f"/>
                          </w:pict>
                        </w:r>
                      </w:p>
                      <w:p w14:paraId="345B11AA" w14:textId="77777777" w:rsidR="00877AA5" w:rsidRDefault="00877AA5" w:rsidP="00877AA5">
                        <w:pPr>
                          <w:pStyle w:val="Heading2"/>
                          <w:spacing w:after="0"/>
                          <w:rPr>
                            <w:rFonts w:eastAsia="Times New Roman"/>
                          </w:rPr>
                        </w:pPr>
                        <w:r>
                          <w:rPr>
                            <w:rFonts w:eastAsia="Times New Roman"/>
                          </w:rPr>
                          <w:t>Reminder: FP34C submission deadline extended</w:t>
                        </w:r>
                      </w:p>
                      <w:p w14:paraId="24C16E64"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due to the bank holidays, they have until Tuesday 7th June 2022 to submit May's FP34C declaration through the Manage Your Service (MYS) portal.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2BB4BEAE"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387D37">
                            <v:rect id="_x0000_i1036" style="width:468pt;height:1.5pt" o:hrstd="t" o:hr="t" fillcolor="#a0a0a0" stroked="f"/>
                          </w:pict>
                        </w:r>
                      </w:p>
                      <w:p w14:paraId="5003F692" w14:textId="77777777" w:rsidR="00877AA5" w:rsidRDefault="00877AA5" w:rsidP="00877AA5">
                        <w:pPr>
                          <w:pStyle w:val="Heading2"/>
                          <w:spacing w:after="0"/>
                          <w:rPr>
                            <w:rFonts w:eastAsia="Times New Roman"/>
                          </w:rPr>
                        </w:pPr>
                        <w:r>
                          <w:rPr>
                            <w:rFonts w:eastAsia="Times New Roman"/>
                          </w:rPr>
                          <w:t>Newsletter schedule over the bank holidays</w:t>
                        </w:r>
                      </w:p>
                      <w:p w14:paraId="43172551" w14:textId="77777777" w:rsidR="00877AA5" w:rsidRDefault="00877AA5" w:rsidP="00877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Due to the upcoming Jubilee bank holiday weekend, the next PSNC newsletter will be sent on </w:t>
                        </w:r>
                        <w:r>
                          <w:rPr>
                            <w:rStyle w:val="Strong"/>
                            <w:rFonts w:ascii="Tahoma" w:eastAsia="Times New Roman" w:hAnsi="Tahoma" w:cs="Tahoma"/>
                            <w:color w:val="303030"/>
                            <w:sz w:val="21"/>
                            <w:szCs w:val="21"/>
                          </w:rPr>
                          <w:t>Monday 6th June</w:t>
                        </w:r>
                        <w:r>
                          <w:rPr>
                            <w:rFonts w:ascii="Tahoma" w:eastAsia="Times New Roman" w:hAnsi="Tahoma" w:cs="Tahoma"/>
                            <w:color w:val="303030"/>
                            <w:sz w:val="21"/>
                            <w:szCs w:val="21"/>
                          </w:rPr>
                          <w:t>, following which the regular PSNC newsletter schedule will resume.</w:t>
                        </w:r>
                      </w:p>
                    </w:tc>
                    <w:tc>
                      <w:tcPr>
                        <w:tcW w:w="150" w:type="dxa"/>
                        <w:vAlign w:val="center"/>
                        <w:hideMark/>
                      </w:tcPr>
                      <w:p w14:paraId="69FF6BF1" w14:textId="77777777" w:rsidR="00877AA5" w:rsidRDefault="00877AA5">
                        <w:pPr>
                          <w:rPr>
                            <w:rFonts w:ascii="Tahoma" w:eastAsia="Times New Roman" w:hAnsi="Tahoma" w:cs="Tahoma"/>
                            <w:color w:val="303030"/>
                            <w:sz w:val="21"/>
                            <w:szCs w:val="21"/>
                          </w:rPr>
                        </w:pPr>
                      </w:p>
                    </w:tc>
                  </w:tr>
                  <w:tr w:rsidR="00877AA5" w14:paraId="05A4DFDD" w14:textId="77777777">
                    <w:trPr>
                      <w:trHeight w:val="150"/>
                      <w:tblCellSpacing w:w="15" w:type="dxa"/>
                      <w:jc w:val="center"/>
                    </w:trPr>
                    <w:tc>
                      <w:tcPr>
                        <w:tcW w:w="150" w:type="dxa"/>
                        <w:vAlign w:val="center"/>
                        <w:hideMark/>
                      </w:tcPr>
                      <w:p w14:paraId="61FF81A7" w14:textId="77777777" w:rsidR="00877AA5" w:rsidRDefault="00877AA5">
                        <w:pPr>
                          <w:rPr>
                            <w:rFonts w:ascii="Times New Roman" w:eastAsia="Times New Roman" w:hAnsi="Times New Roman" w:cs="Times New Roman"/>
                            <w:sz w:val="20"/>
                            <w:szCs w:val="20"/>
                          </w:rPr>
                        </w:pPr>
                      </w:p>
                    </w:tc>
                    <w:tc>
                      <w:tcPr>
                        <w:tcW w:w="8700" w:type="dxa"/>
                        <w:vAlign w:val="center"/>
                        <w:hideMark/>
                      </w:tcPr>
                      <w:p w14:paraId="221DCCA5" w14:textId="77777777" w:rsidR="00877AA5" w:rsidRDefault="00877AA5">
                        <w:pPr>
                          <w:rPr>
                            <w:rFonts w:ascii="Times New Roman" w:eastAsia="Times New Roman" w:hAnsi="Times New Roman" w:cs="Times New Roman"/>
                            <w:sz w:val="20"/>
                            <w:szCs w:val="20"/>
                          </w:rPr>
                        </w:pPr>
                      </w:p>
                    </w:tc>
                    <w:tc>
                      <w:tcPr>
                        <w:tcW w:w="150" w:type="dxa"/>
                        <w:vAlign w:val="center"/>
                        <w:hideMark/>
                      </w:tcPr>
                      <w:p w14:paraId="6C409BC6" w14:textId="77777777" w:rsidR="00877AA5" w:rsidRDefault="00877AA5">
                        <w:pPr>
                          <w:rPr>
                            <w:rFonts w:ascii="Times New Roman" w:eastAsia="Times New Roman" w:hAnsi="Times New Roman" w:cs="Times New Roman"/>
                            <w:sz w:val="20"/>
                            <w:szCs w:val="20"/>
                          </w:rPr>
                        </w:pPr>
                      </w:p>
                    </w:tc>
                  </w:tr>
                </w:tbl>
                <w:p w14:paraId="212CC82D" w14:textId="77777777" w:rsidR="00877AA5" w:rsidRDefault="00877AA5">
                  <w:pPr>
                    <w:jc w:val="center"/>
                    <w:rPr>
                      <w:rFonts w:ascii="Times New Roman" w:eastAsia="Times New Roman" w:hAnsi="Times New Roman" w:cs="Times New Roman"/>
                      <w:sz w:val="20"/>
                      <w:szCs w:val="20"/>
                    </w:rPr>
                  </w:pPr>
                </w:p>
              </w:tc>
            </w:tr>
          </w:tbl>
          <w:p w14:paraId="29631359" w14:textId="77777777" w:rsidR="00877AA5" w:rsidRDefault="00877AA5">
            <w:pPr>
              <w:jc w:val="center"/>
              <w:rPr>
                <w:rFonts w:ascii="Times New Roman" w:eastAsia="Times New Roman" w:hAnsi="Times New Roman" w:cs="Times New Roman"/>
                <w:sz w:val="20"/>
                <w:szCs w:val="20"/>
              </w:rPr>
            </w:pPr>
          </w:p>
        </w:tc>
      </w:tr>
      <w:tr w:rsidR="00877AA5" w14:paraId="2F96A510" w14:textId="77777777" w:rsidTr="00877AA5">
        <w:trPr>
          <w:trHeight w:val="1585"/>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77AA5" w14:paraId="01A27F3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77AA5" w14:paraId="427C5352" w14:textId="77777777">
                    <w:trPr>
                      <w:tblCellSpacing w:w="0" w:type="dxa"/>
                      <w:jc w:val="center"/>
                    </w:trPr>
                    <w:tc>
                      <w:tcPr>
                        <w:tcW w:w="3000" w:type="dxa"/>
                        <w:tcMar>
                          <w:top w:w="30" w:type="dxa"/>
                          <w:left w:w="75" w:type="dxa"/>
                          <w:bottom w:w="30" w:type="dxa"/>
                          <w:right w:w="75" w:type="dxa"/>
                        </w:tcMar>
                        <w:hideMark/>
                      </w:tcPr>
                      <w:p w14:paraId="27DB20E8" w14:textId="77777777" w:rsidR="00877AA5" w:rsidRDefault="00877AA5">
                        <w:pPr>
                          <w:pStyle w:val="Heading4"/>
                          <w:jc w:val="center"/>
                          <w:rPr>
                            <w:rFonts w:eastAsia="Times New Roman"/>
                          </w:rPr>
                        </w:pPr>
                        <w:r>
                          <w:rPr>
                            <w:rFonts w:eastAsia="Times New Roman"/>
                          </w:rPr>
                          <w:lastRenderedPageBreak/>
                          <w:t>Pharmaceutical Services Negotiating Committee</w:t>
                        </w:r>
                      </w:p>
                      <w:p w14:paraId="1C8A3941" w14:textId="050F11BD" w:rsidR="00877AA5" w:rsidRDefault="00877AA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D28AB27" wp14:editId="0AEEC52D">
                              <wp:extent cx="609600" cy="304800"/>
                              <wp:effectExtent l="0" t="0" r="0" b="0"/>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3AE0E5" wp14:editId="4F46A526">
                              <wp:extent cx="609600" cy="304800"/>
                              <wp:effectExtent l="0" t="0" r="0" b="0"/>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D26FFB" wp14:editId="66DD8B35">
                              <wp:extent cx="609600" cy="304800"/>
                              <wp:effectExtent l="0" t="0" r="0" b="0"/>
                              <wp:docPr id="2" name="Picture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1ED244" wp14:editId="7413DB86">
                              <wp:extent cx="609600" cy="304800"/>
                              <wp:effectExtent l="0" t="0" r="0" b="0"/>
                              <wp:docPr id="1" name="Picture 1">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C32556" w14:textId="77777777" w:rsidR="00877AA5" w:rsidRDefault="00877AA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77AA5" w14:paraId="18B8D006" w14:textId="77777777" w:rsidTr="00877AA5">
                    <w:trPr>
                      <w:trHeight w:val="20"/>
                      <w:tblCellSpacing w:w="0" w:type="dxa"/>
                      <w:jc w:val="center"/>
                    </w:trPr>
                    <w:tc>
                      <w:tcPr>
                        <w:tcW w:w="9000" w:type="dxa"/>
                        <w:tcMar>
                          <w:top w:w="150" w:type="dxa"/>
                          <w:left w:w="0" w:type="dxa"/>
                          <w:bottom w:w="0" w:type="dxa"/>
                          <w:right w:w="0" w:type="dxa"/>
                        </w:tcMar>
                        <w:vAlign w:val="center"/>
                        <w:hideMark/>
                      </w:tcPr>
                      <w:p w14:paraId="36954D07" w14:textId="6AF480BD" w:rsidR="00877AA5" w:rsidRDefault="00877AA5" w:rsidP="00877AA5">
                        <w:pPr>
                          <w:rPr>
                            <w:rFonts w:ascii="Arial" w:eastAsia="Times New Roman" w:hAnsi="Arial" w:cs="Arial"/>
                            <w:color w:val="FFFFFF"/>
                            <w:sz w:val="17"/>
                            <w:szCs w:val="17"/>
                          </w:rPr>
                        </w:pPr>
                      </w:p>
                    </w:tc>
                  </w:tr>
                </w:tbl>
                <w:p w14:paraId="05113ECA" w14:textId="77777777" w:rsidR="00877AA5" w:rsidRDefault="00877AA5">
                  <w:pPr>
                    <w:jc w:val="center"/>
                    <w:rPr>
                      <w:rFonts w:ascii="Times New Roman" w:eastAsia="Times New Roman" w:hAnsi="Times New Roman" w:cs="Times New Roman"/>
                      <w:sz w:val="20"/>
                      <w:szCs w:val="20"/>
                    </w:rPr>
                  </w:pPr>
                </w:p>
              </w:tc>
            </w:tr>
          </w:tbl>
          <w:p w14:paraId="51F7EEF2" w14:textId="77777777" w:rsidR="00877AA5" w:rsidRDefault="00877AA5">
            <w:pPr>
              <w:jc w:val="center"/>
              <w:rPr>
                <w:rFonts w:ascii="Times New Roman" w:eastAsia="Times New Roman" w:hAnsi="Times New Roman" w:cs="Times New Roman"/>
                <w:sz w:val="20"/>
                <w:szCs w:val="20"/>
              </w:rPr>
            </w:pPr>
          </w:p>
        </w:tc>
      </w:tr>
    </w:tbl>
    <w:p w14:paraId="5171F5B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A5"/>
    <w:rsid w:val="00877AA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4C3F"/>
  <w15:chartTrackingRefBased/>
  <w15:docId w15:val="{02C91724-0F9C-4A9C-BB85-FF5ABC7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A5"/>
    <w:rPr>
      <w:rFonts w:ascii="Calibri" w:hAnsi="Calibri" w:cs="Calibri"/>
      <w:lang w:eastAsia="en-GB"/>
    </w:rPr>
  </w:style>
  <w:style w:type="paragraph" w:styleId="Heading1">
    <w:name w:val="heading 1"/>
    <w:basedOn w:val="Normal"/>
    <w:link w:val="Heading1Char"/>
    <w:uiPriority w:val="9"/>
    <w:qFormat/>
    <w:rsid w:val="00877AA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77AA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77AA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AA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77AA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77AA5"/>
    <w:rPr>
      <w:rFonts w:ascii="Tahoma" w:hAnsi="Tahoma" w:cs="Tahoma"/>
      <w:b/>
      <w:bCs/>
      <w:color w:val="FFFFFF"/>
      <w:sz w:val="18"/>
      <w:szCs w:val="18"/>
      <w:lang w:eastAsia="en-GB"/>
    </w:rPr>
  </w:style>
  <w:style w:type="paragraph" w:styleId="NormalWeb">
    <w:name w:val="Normal (Web)"/>
    <w:basedOn w:val="Normal"/>
    <w:uiPriority w:val="99"/>
    <w:semiHidden/>
    <w:unhideWhenUsed/>
    <w:rsid w:val="00877AA5"/>
    <w:pPr>
      <w:spacing w:before="100" w:beforeAutospacing="1" w:after="100" w:afterAutospacing="1"/>
    </w:pPr>
  </w:style>
  <w:style w:type="character" w:styleId="Strong">
    <w:name w:val="Strong"/>
    <w:basedOn w:val="DefaultParagraphFont"/>
    <w:uiPriority w:val="22"/>
    <w:qFormat/>
    <w:rsid w:val="00877AA5"/>
    <w:rPr>
      <w:b/>
      <w:bCs/>
    </w:rPr>
  </w:style>
  <w:style w:type="character" w:styleId="Hyperlink">
    <w:name w:val="Hyperlink"/>
    <w:basedOn w:val="DefaultParagraphFont"/>
    <w:uiPriority w:val="99"/>
    <w:semiHidden/>
    <w:unhideWhenUsed/>
    <w:rsid w:val="00877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8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3973a2775&amp;e=d19e9fd41c" TargetMode="External"/><Relationship Id="rId13" Type="http://schemas.openxmlformats.org/officeDocument/2006/relationships/hyperlink" Target="https://psnc.us7.list-manage.com/track/click?u=86d41ab7fa4c7c2c5d7210782&amp;id=77446528f6&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34b42930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1c6399df47&amp;e=d19e9fd41c"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dc97ae3ff&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a27b1ee1db&amp;e=d19e9fd41c" TargetMode="External"/><Relationship Id="rId19" Type="http://schemas.openxmlformats.org/officeDocument/2006/relationships/hyperlink" Target="https://psnc.us7.list-manage.com/track/click?u=86d41ab7fa4c7c2c5d7210782&amp;id=77b421d9bb&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410bea08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b6a840c270&amp;e=d19e9fd41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2022-06-06T07:43:00Z</dcterms:created>
  <dcterms:modified xsi:type="dcterms:W3CDTF">2022-06-06T07:45:00Z</dcterms:modified>
</cp:coreProperties>
</file>