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65374A" w14:paraId="26140361" w14:textId="77777777" w:rsidTr="0065374A">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65374A" w14:paraId="18A44E43"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65374A" w14:paraId="747B7CB7" w14:textId="77777777">
                    <w:trPr>
                      <w:tblCellSpacing w:w="0" w:type="dxa"/>
                      <w:jc w:val="center"/>
                    </w:trPr>
                    <w:tc>
                      <w:tcPr>
                        <w:tcW w:w="3000" w:type="dxa"/>
                        <w:hideMark/>
                      </w:tcPr>
                      <w:p w14:paraId="12B63E2A" w14:textId="39C99CA2" w:rsidR="0065374A" w:rsidRDefault="0065374A" w:rsidP="0065374A">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406C5FCF" w14:textId="77777777" w:rsidR="0065374A" w:rsidRDefault="0065374A">
                  <w:pPr>
                    <w:jc w:val="center"/>
                    <w:rPr>
                      <w:rFonts w:ascii="Times New Roman" w:eastAsia="Times New Roman" w:hAnsi="Times New Roman" w:cs="Times New Roman"/>
                      <w:sz w:val="20"/>
                      <w:szCs w:val="20"/>
                    </w:rPr>
                  </w:pPr>
                </w:p>
              </w:tc>
            </w:tr>
            <w:tr w:rsidR="0065374A" w14:paraId="773626D5"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65374A" w14:paraId="1D864058"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2A1FB598" w14:textId="660BC121" w:rsidR="0065374A" w:rsidRDefault="0065374A">
                        <w:pPr>
                          <w:jc w:val="center"/>
                          <w:rPr>
                            <w:rFonts w:eastAsia="Times New Roman"/>
                          </w:rPr>
                        </w:pPr>
                        <w:r>
                          <w:rPr>
                            <w:rFonts w:eastAsia="Times New Roman"/>
                            <w:noProof/>
                          </w:rPr>
                          <w:drawing>
                            <wp:inline distT="0" distB="0" distL="0" distR="0" wp14:anchorId="2C3BC015" wp14:editId="22F682FC">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65374A" w14:paraId="20A0E2A7" w14:textId="77777777">
                    <w:trPr>
                      <w:tblCellSpacing w:w="0" w:type="dxa"/>
                    </w:trPr>
                    <w:tc>
                      <w:tcPr>
                        <w:tcW w:w="0" w:type="auto"/>
                        <w:vMerge/>
                        <w:tcBorders>
                          <w:top w:val="nil"/>
                          <w:left w:val="nil"/>
                          <w:bottom w:val="single" w:sz="2" w:space="0" w:color="FFFFFF"/>
                          <w:right w:val="nil"/>
                        </w:tcBorders>
                        <w:vAlign w:val="center"/>
                        <w:hideMark/>
                      </w:tcPr>
                      <w:p w14:paraId="425F2551" w14:textId="77777777" w:rsidR="0065374A" w:rsidRDefault="0065374A">
                        <w:pPr>
                          <w:rPr>
                            <w:rFonts w:eastAsia="Times New Roman"/>
                          </w:rPr>
                        </w:pPr>
                      </w:p>
                    </w:tc>
                    <w:tc>
                      <w:tcPr>
                        <w:tcW w:w="3450" w:type="dxa"/>
                        <w:tcBorders>
                          <w:top w:val="nil"/>
                          <w:left w:val="nil"/>
                          <w:bottom w:val="nil"/>
                          <w:right w:val="nil"/>
                        </w:tcBorders>
                        <w:vAlign w:val="center"/>
                        <w:hideMark/>
                      </w:tcPr>
                      <w:p w14:paraId="57277ADA" w14:textId="77777777" w:rsidR="0065374A" w:rsidRDefault="0065374A">
                        <w:pPr>
                          <w:pStyle w:val="Heading1"/>
                          <w:rPr>
                            <w:rFonts w:eastAsia="Times New Roman"/>
                          </w:rPr>
                        </w:pPr>
                        <w:r>
                          <w:rPr>
                            <w:rFonts w:eastAsia="Times New Roman"/>
                          </w:rPr>
                          <w:t>PSNC Newsletter</w:t>
                        </w:r>
                      </w:p>
                    </w:tc>
                  </w:tr>
                  <w:tr w:rsidR="0065374A" w14:paraId="48F00634" w14:textId="77777777">
                    <w:trPr>
                      <w:tblCellSpacing w:w="0" w:type="dxa"/>
                    </w:trPr>
                    <w:tc>
                      <w:tcPr>
                        <w:tcW w:w="0" w:type="auto"/>
                        <w:vMerge/>
                        <w:tcBorders>
                          <w:top w:val="nil"/>
                          <w:left w:val="nil"/>
                          <w:bottom w:val="single" w:sz="2" w:space="0" w:color="FFFFFF"/>
                          <w:right w:val="nil"/>
                        </w:tcBorders>
                        <w:vAlign w:val="center"/>
                        <w:hideMark/>
                      </w:tcPr>
                      <w:p w14:paraId="5723D1E5" w14:textId="77777777" w:rsidR="0065374A" w:rsidRDefault="0065374A">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43824FF" w14:textId="77777777" w:rsidR="0065374A" w:rsidRDefault="0065374A">
                        <w:pPr>
                          <w:pStyle w:val="Heading2"/>
                          <w:rPr>
                            <w:rFonts w:eastAsia="Times New Roman"/>
                            <w:color w:val="93378A"/>
                          </w:rPr>
                        </w:pPr>
                        <w:r>
                          <w:rPr>
                            <w:rFonts w:eastAsia="Times New Roman"/>
                            <w:color w:val="93378A"/>
                          </w:rPr>
                          <w:t>Friday 13th May 2022</w:t>
                        </w:r>
                      </w:p>
                    </w:tc>
                  </w:tr>
                </w:tbl>
                <w:p w14:paraId="3B2AE23E" w14:textId="77777777" w:rsidR="0065374A" w:rsidRDefault="0065374A">
                  <w:pPr>
                    <w:rPr>
                      <w:rFonts w:ascii="Times New Roman" w:eastAsia="Times New Roman" w:hAnsi="Times New Roman" w:cs="Times New Roman"/>
                      <w:sz w:val="20"/>
                      <w:szCs w:val="20"/>
                    </w:rPr>
                  </w:pPr>
                </w:p>
              </w:tc>
            </w:tr>
            <w:tr w:rsidR="0065374A" w14:paraId="117B4B3A" w14:textId="77777777">
              <w:tblPrEx>
                <w:shd w:val="clear" w:color="auto" w:fill="auto"/>
              </w:tblPrEx>
              <w:trPr>
                <w:tblCellSpacing w:w="0" w:type="dxa"/>
                <w:jc w:val="center"/>
              </w:trPr>
              <w:tc>
                <w:tcPr>
                  <w:tcW w:w="9000" w:type="dxa"/>
                  <w:hideMark/>
                </w:tcPr>
                <w:p w14:paraId="737CB010" w14:textId="41396136" w:rsidR="0065374A" w:rsidRDefault="0065374A">
                  <w:pPr>
                    <w:rPr>
                      <w:rFonts w:eastAsia="Times New Roman"/>
                    </w:rPr>
                  </w:pPr>
                  <w:r>
                    <w:rPr>
                      <w:rFonts w:eastAsia="Times New Roman"/>
                      <w:noProof/>
                    </w:rPr>
                    <w:drawing>
                      <wp:inline distT="0" distB="0" distL="0" distR="0" wp14:anchorId="0B449E81" wp14:editId="08911759">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65374A" w14:paraId="19D847F0"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65374A" w14:paraId="70F44F07" w14:textId="77777777">
                    <w:trPr>
                      <w:trHeight w:val="150"/>
                      <w:tblCellSpacing w:w="15" w:type="dxa"/>
                      <w:jc w:val="center"/>
                    </w:trPr>
                    <w:tc>
                      <w:tcPr>
                        <w:tcW w:w="150" w:type="dxa"/>
                        <w:vAlign w:val="center"/>
                        <w:hideMark/>
                      </w:tcPr>
                      <w:p w14:paraId="4201BBD3" w14:textId="77777777" w:rsidR="0065374A" w:rsidRDefault="0065374A">
                        <w:pPr>
                          <w:rPr>
                            <w:rFonts w:eastAsia="Times New Roman"/>
                          </w:rPr>
                        </w:pPr>
                      </w:p>
                    </w:tc>
                    <w:tc>
                      <w:tcPr>
                        <w:tcW w:w="8700" w:type="dxa"/>
                        <w:vAlign w:val="center"/>
                        <w:hideMark/>
                      </w:tcPr>
                      <w:p w14:paraId="578F59A1" w14:textId="77777777" w:rsidR="0065374A" w:rsidRDefault="0065374A">
                        <w:pPr>
                          <w:rPr>
                            <w:rFonts w:ascii="Times New Roman" w:eastAsia="Times New Roman" w:hAnsi="Times New Roman" w:cs="Times New Roman"/>
                            <w:sz w:val="20"/>
                            <w:szCs w:val="20"/>
                          </w:rPr>
                        </w:pPr>
                      </w:p>
                    </w:tc>
                    <w:tc>
                      <w:tcPr>
                        <w:tcW w:w="150" w:type="dxa"/>
                        <w:vAlign w:val="center"/>
                        <w:hideMark/>
                      </w:tcPr>
                      <w:p w14:paraId="316E565F" w14:textId="77777777" w:rsidR="0065374A" w:rsidRDefault="0065374A">
                        <w:pPr>
                          <w:rPr>
                            <w:rFonts w:ascii="Times New Roman" w:eastAsia="Times New Roman" w:hAnsi="Times New Roman" w:cs="Times New Roman"/>
                            <w:sz w:val="20"/>
                            <w:szCs w:val="20"/>
                          </w:rPr>
                        </w:pPr>
                      </w:p>
                    </w:tc>
                  </w:tr>
                  <w:tr w:rsidR="0065374A" w14:paraId="64F6C702" w14:textId="77777777">
                    <w:trPr>
                      <w:tblCellSpacing w:w="15" w:type="dxa"/>
                      <w:jc w:val="center"/>
                    </w:trPr>
                    <w:tc>
                      <w:tcPr>
                        <w:tcW w:w="150" w:type="dxa"/>
                        <w:vAlign w:val="center"/>
                        <w:hideMark/>
                      </w:tcPr>
                      <w:p w14:paraId="6788BB8C" w14:textId="77777777" w:rsidR="0065374A" w:rsidRDefault="0065374A">
                        <w:pPr>
                          <w:rPr>
                            <w:rFonts w:ascii="Times New Roman" w:eastAsia="Times New Roman" w:hAnsi="Times New Roman" w:cs="Times New Roman"/>
                            <w:sz w:val="20"/>
                            <w:szCs w:val="20"/>
                          </w:rPr>
                        </w:pPr>
                      </w:p>
                    </w:tc>
                    <w:tc>
                      <w:tcPr>
                        <w:tcW w:w="8700" w:type="dxa"/>
                        <w:vAlign w:val="center"/>
                        <w:hideMark/>
                      </w:tcPr>
                      <w:p w14:paraId="038FDB61" w14:textId="77777777" w:rsidR="0065374A" w:rsidRDefault="0065374A" w:rsidP="0065374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40DFD2D5" w14:textId="77777777" w:rsidR="0065374A" w:rsidRDefault="0065374A" w:rsidP="0065374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281692B">
                            <v:rect id="_x0000_i1032" style="width:468pt;height:1.5pt" o:hrstd="t" o:hr="t" fillcolor="#a0a0a0" stroked="f"/>
                          </w:pict>
                        </w:r>
                      </w:p>
                      <w:p w14:paraId="65A810DD" w14:textId="77777777" w:rsidR="0065374A" w:rsidRDefault="0065374A" w:rsidP="0065374A">
                        <w:pPr>
                          <w:pStyle w:val="Heading2"/>
                          <w:spacing w:after="0"/>
                          <w:rPr>
                            <w:rFonts w:eastAsia="Times New Roman"/>
                          </w:rPr>
                        </w:pPr>
                        <w:r>
                          <w:rPr>
                            <w:rFonts w:eastAsia="Times New Roman"/>
                          </w:rPr>
                          <w:t>In this update: Over 10,700 contractors benefit from earlier advance payments; rise in prescriptions returns due to incomplete endorsements; SSP005 extended; Regulations Officer job opportunity at PSNC.</w:t>
                        </w:r>
                      </w:p>
                      <w:p w14:paraId="7B9BE62B" w14:textId="77777777" w:rsidR="0065374A" w:rsidRDefault="0065374A" w:rsidP="0065374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9AC7A34">
                            <v:rect id="_x0000_i1033" style="width:468pt;height:1.5pt" o:hrstd="t" o:hr="t" fillcolor="#a0a0a0" stroked="f"/>
                          </w:pict>
                        </w:r>
                      </w:p>
                      <w:p w14:paraId="26D9F170" w14:textId="77777777" w:rsidR="0065374A" w:rsidRDefault="0065374A" w:rsidP="0065374A">
                        <w:pPr>
                          <w:pStyle w:val="Heading2"/>
                          <w:spacing w:after="0"/>
                          <w:rPr>
                            <w:rFonts w:eastAsia="Times New Roman"/>
                          </w:rPr>
                        </w:pPr>
                        <w:r>
                          <w:rPr>
                            <w:rFonts w:eastAsia="Times New Roman"/>
                          </w:rPr>
                          <w:t>Over 10,700 contractors benefit from earlier advance payments on 12th May</w:t>
                        </w:r>
                      </w:p>
                      <w:p w14:paraId="12102C3C" w14:textId="068AD77C" w:rsidR="0065374A" w:rsidRDefault="0065374A" w:rsidP="0065374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Over 10,700 pharmacy contractors who declared their April 2022 FP34C submission figures through the NHS Business Services Authority's (NHSBSA's) Manage Your Service (MYS) portal by May 6th</w:t>
                        </w:r>
                        <w:proofErr w:type="gramStart"/>
                        <w:r>
                          <w:rPr>
                            <w:rFonts w:ascii="Tahoma" w:eastAsia="Times New Roman" w:hAnsi="Tahoma" w:cs="Tahoma"/>
                            <w:color w:val="303030"/>
                            <w:sz w:val="21"/>
                            <w:szCs w:val="21"/>
                          </w:rPr>
                          <w:t> 2022</w:t>
                        </w:r>
                        <w:proofErr w:type="gramEnd"/>
                        <w:r>
                          <w:rPr>
                            <w:rFonts w:ascii="Tahoma" w:eastAsia="Times New Roman" w:hAnsi="Tahoma" w:cs="Tahoma"/>
                            <w:color w:val="303030"/>
                            <w:sz w:val="21"/>
                            <w:szCs w:val="21"/>
                          </w:rPr>
                          <w:t xml:space="preserve"> received earlier advance payments yesterday (</w:t>
                        </w:r>
                        <w:r>
                          <w:rPr>
                            <w:rStyle w:val="Strong"/>
                            <w:rFonts w:ascii="Tahoma" w:eastAsia="Times New Roman" w:hAnsi="Tahoma" w:cs="Tahoma"/>
                            <w:color w:val="303030"/>
                            <w:sz w:val="21"/>
                            <w:szCs w:val="21"/>
                          </w:rPr>
                          <w:t>Thursday 12th May</w:t>
                        </w:r>
                        <w:r>
                          <w:rPr>
                            <w:rFonts w:ascii="Tahoma" w:eastAsia="Times New Roman" w:hAnsi="Tahoma" w:cs="Tahoma"/>
                            <w:color w:val="303030"/>
                            <w:sz w:val="21"/>
                            <w:szCs w:val="21"/>
                          </w:rPr>
                          <w:t xml:space="preserve">): circa 20 days earlier than the normal advance payment timetable. </w:t>
                        </w:r>
                      </w:p>
                      <w:p w14:paraId="2698811B" w14:textId="77777777" w:rsidR="0065374A" w:rsidRDefault="0065374A" w:rsidP="0065374A">
                        <w:pPr>
                          <w:pStyle w:val="NormalWeb"/>
                          <w:spacing w:before="0" w:beforeAutospacing="0" w:after="0" w:afterAutospacing="0" w:line="264" w:lineRule="auto"/>
                          <w:rPr>
                            <w:rFonts w:ascii="Tahoma" w:hAnsi="Tahoma" w:cs="Tahoma"/>
                            <w:color w:val="303030"/>
                            <w:sz w:val="21"/>
                            <w:szCs w:val="21"/>
                          </w:rPr>
                        </w:pPr>
                      </w:p>
                      <w:p w14:paraId="117DA569" w14:textId="1779615A" w:rsidR="0065374A" w:rsidRDefault="0065374A" w:rsidP="0065374A">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This leaves c.400 contractors who did not receive earlier advance payments in May because their April FP34C declarations were submitted late through MYS. These contractors will receive their advance payments in accordance with the normal payment timetable </w:t>
                        </w:r>
                        <w:proofErr w:type="gramStart"/>
                        <w:r>
                          <w:rPr>
                            <w:rFonts w:ascii="Tahoma" w:hAnsi="Tahoma" w:cs="Tahoma"/>
                            <w:color w:val="303030"/>
                            <w:sz w:val="21"/>
                            <w:szCs w:val="21"/>
                          </w:rPr>
                          <w:t>i.e.</w:t>
                        </w:r>
                        <w:proofErr w:type="gramEnd"/>
                        <w:r>
                          <w:rPr>
                            <w:rFonts w:ascii="Tahoma" w:hAnsi="Tahoma" w:cs="Tahoma"/>
                            <w:color w:val="303030"/>
                            <w:sz w:val="21"/>
                            <w:szCs w:val="21"/>
                          </w:rPr>
                          <w:t xml:space="preserve"> on 1st June 2022.</w:t>
                        </w:r>
                      </w:p>
                      <w:p w14:paraId="1119C757" w14:textId="77777777" w:rsidR="0065374A" w:rsidRDefault="0065374A" w:rsidP="0065374A">
                        <w:pPr>
                          <w:pStyle w:val="NormalWeb"/>
                          <w:spacing w:before="0" w:beforeAutospacing="0" w:after="0" w:afterAutospacing="0" w:line="264" w:lineRule="auto"/>
                          <w:rPr>
                            <w:rFonts w:ascii="Tahoma" w:hAnsi="Tahoma" w:cs="Tahoma"/>
                            <w:color w:val="303030"/>
                            <w:sz w:val="21"/>
                            <w:szCs w:val="21"/>
                          </w:rPr>
                        </w:pPr>
                      </w:p>
                      <w:p w14:paraId="1C3F55AF" w14:textId="439DA041" w:rsidR="0065374A" w:rsidRDefault="0065374A" w:rsidP="0065374A">
                        <w:pPr>
                          <w:pStyle w:val="NormalWeb"/>
                          <w:spacing w:before="0" w:beforeAutospacing="0" w:after="0" w:afterAutospacing="0" w:line="264" w:lineRule="auto"/>
                          <w:rPr>
                            <w:rFonts w:ascii="Tahoma" w:hAnsi="Tahoma" w:cs="Tahoma"/>
                            <w:color w:val="303030"/>
                            <w:sz w:val="21"/>
                            <w:szCs w:val="21"/>
                          </w:rPr>
                        </w:pPr>
                        <w:hyperlink r:id="rId8" w:tgtFrame="_blank" w:history="1">
                          <w:r>
                            <w:rPr>
                              <w:rStyle w:val="Hyperlink"/>
                              <w:rFonts w:ascii="Tahoma" w:hAnsi="Tahoma" w:cs="Tahoma"/>
                              <w:b/>
                              <w:bCs/>
                              <w:color w:val="4E3487"/>
                              <w:sz w:val="21"/>
                              <w:szCs w:val="21"/>
                            </w:rPr>
                            <w:t>Find out more</w:t>
                          </w:r>
                        </w:hyperlink>
                      </w:p>
                      <w:p w14:paraId="44C6D851" w14:textId="77777777" w:rsidR="0065374A" w:rsidRDefault="0065374A" w:rsidP="0065374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8D8DFBB">
                            <v:rect id="_x0000_i1034" style="width:468pt;height:1.5pt" o:hrstd="t" o:hr="t" fillcolor="#a0a0a0" stroked="f"/>
                          </w:pict>
                        </w:r>
                      </w:p>
                      <w:p w14:paraId="1B6568AE" w14:textId="77777777" w:rsidR="0065374A" w:rsidRDefault="0065374A" w:rsidP="0065374A">
                        <w:pPr>
                          <w:pStyle w:val="Heading2"/>
                          <w:spacing w:after="0"/>
                          <w:rPr>
                            <w:rFonts w:eastAsia="Times New Roman"/>
                          </w:rPr>
                        </w:pPr>
                        <w:r>
                          <w:rPr>
                            <w:rFonts w:eastAsia="Times New Roman"/>
                          </w:rPr>
                          <w:t>Reported rise in prescription returns due to incomplete endorsements</w:t>
                        </w:r>
                      </w:p>
                      <w:p w14:paraId="1C6D991B" w14:textId="25011366" w:rsidR="0065374A" w:rsidRDefault="0065374A" w:rsidP="0065374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NHSBSA has reported seeing a rise in items that are being </w:t>
                        </w:r>
                        <w:proofErr w:type="gramStart"/>
                        <w:r>
                          <w:rPr>
                            <w:rFonts w:ascii="Tahoma" w:eastAsia="Times New Roman" w:hAnsi="Tahoma" w:cs="Tahoma"/>
                            <w:color w:val="303030"/>
                            <w:sz w:val="21"/>
                            <w:szCs w:val="21"/>
                          </w:rPr>
                          <w:t>referred back</w:t>
                        </w:r>
                        <w:proofErr w:type="gramEnd"/>
                        <w:r>
                          <w:rPr>
                            <w:rFonts w:ascii="Tahoma" w:eastAsia="Times New Roman" w:hAnsi="Tahoma" w:cs="Tahoma"/>
                            <w:color w:val="303030"/>
                            <w:sz w:val="21"/>
                            <w:szCs w:val="21"/>
                          </w:rPr>
                          <w:t xml:space="preserve"> to contractors due to incomplete endorsements. The NHSBSA notes that this issue is </w:t>
                        </w:r>
                        <w:proofErr w:type="gramStart"/>
                        <w:r>
                          <w:rPr>
                            <w:rFonts w:ascii="Tahoma" w:eastAsia="Times New Roman" w:hAnsi="Tahoma" w:cs="Tahoma"/>
                            <w:color w:val="303030"/>
                            <w:sz w:val="21"/>
                            <w:szCs w:val="21"/>
                          </w:rPr>
                          <w:t>most commonly seen</w:t>
                        </w:r>
                        <w:proofErr w:type="gramEnd"/>
                        <w:r>
                          <w:rPr>
                            <w:rFonts w:ascii="Tahoma" w:eastAsia="Times New Roman" w:hAnsi="Tahoma" w:cs="Tahoma"/>
                            <w:color w:val="303030"/>
                            <w:sz w:val="21"/>
                            <w:szCs w:val="21"/>
                          </w:rPr>
                          <w:t xml:space="preserve"> with handwritten prescriptions. </w:t>
                        </w:r>
                        <w:r>
                          <w:rPr>
                            <w:rFonts w:ascii="Tahoma" w:eastAsia="Times New Roman" w:hAnsi="Tahoma" w:cs="Tahoma"/>
                            <w:color w:val="303030"/>
                            <w:sz w:val="21"/>
                            <w:szCs w:val="21"/>
                          </w:rPr>
                          <w:br/>
                        </w:r>
                        <w:r>
                          <w:rPr>
                            <w:rFonts w:ascii="Tahoma" w:eastAsia="Times New Roman" w:hAnsi="Tahoma" w:cs="Tahoma"/>
                            <w:color w:val="303030"/>
                            <w:sz w:val="21"/>
                            <w:szCs w:val="21"/>
                          </w:rPr>
                          <w:br/>
                          <w:t>Where a prescription does not specify the presentation of a drug that is available in multiple presentations (formulations), the prescription should be endorsed correctly with details of the presentation dispensed to avoid any delays in payment. </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Learn more</w:t>
                          </w:r>
                        </w:hyperlink>
                        <w:r>
                          <w:rPr>
                            <w:rFonts w:ascii="Tahoma" w:eastAsia="Times New Roman" w:hAnsi="Tahoma" w:cs="Tahoma"/>
                            <w:color w:val="303030"/>
                            <w:sz w:val="21"/>
                            <w:szCs w:val="21"/>
                          </w:rPr>
                          <w:t xml:space="preserve"> </w:t>
                        </w:r>
                      </w:p>
                      <w:p w14:paraId="339755A2" w14:textId="77777777" w:rsidR="0065374A" w:rsidRDefault="0065374A" w:rsidP="0065374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30BBD50">
                            <v:rect id="_x0000_i1035" style="width:468pt;height:1.5pt" o:hrstd="t" o:hr="t" fillcolor="#a0a0a0" stroked="f"/>
                          </w:pict>
                        </w:r>
                      </w:p>
                      <w:p w14:paraId="4FBD03DD" w14:textId="77777777" w:rsidR="0065374A" w:rsidRDefault="0065374A" w:rsidP="0065374A">
                        <w:pPr>
                          <w:pStyle w:val="Heading2"/>
                          <w:spacing w:after="0"/>
                          <w:rPr>
                            <w:rFonts w:eastAsia="Times New Roman"/>
                          </w:rPr>
                        </w:pPr>
                        <w:r>
                          <w:rPr>
                            <w:rFonts w:eastAsia="Times New Roman"/>
                          </w:rPr>
                          <w:t>Further extension to SSP005 for Fluoxetine 10mg tablets</w:t>
                        </w:r>
                      </w:p>
                      <w:p w14:paraId="214A1139" w14:textId="3551EBC6" w:rsidR="0065374A" w:rsidRDefault="0065374A" w:rsidP="0065374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t>The Serious Shortage Protocol (SSP) for Fluoxetine 10mg tablets (SSP005), which was due to end today, has now been further extended to </w:t>
                        </w:r>
                        <w:r>
                          <w:rPr>
                            <w:rStyle w:val="Strong"/>
                            <w:rFonts w:ascii="Tahoma" w:eastAsia="Times New Roman" w:hAnsi="Tahoma" w:cs="Tahoma"/>
                            <w:color w:val="303030"/>
                            <w:sz w:val="21"/>
                            <w:szCs w:val="21"/>
                          </w:rPr>
                          <w:t>Friday 12th August 2022</w:t>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Read more about this SSP</w:t>
                          </w:r>
                        </w:hyperlink>
                        <w:r>
                          <w:rPr>
                            <w:rFonts w:ascii="Tahoma" w:eastAsia="Times New Roman" w:hAnsi="Tahoma" w:cs="Tahoma"/>
                            <w:color w:val="303030"/>
                            <w:sz w:val="21"/>
                            <w:szCs w:val="21"/>
                          </w:rPr>
                          <w:t xml:space="preserve"> </w:t>
                        </w:r>
                      </w:p>
                      <w:p w14:paraId="31838CAD" w14:textId="77777777" w:rsidR="0065374A" w:rsidRDefault="0065374A" w:rsidP="0065374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46A5843">
                            <v:rect id="_x0000_i1036" style="width:468pt;height:1.5pt" o:hrstd="t" o:hr="t" fillcolor="#a0a0a0" stroked="f"/>
                          </w:pict>
                        </w:r>
                      </w:p>
                      <w:p w14:paraId="1EB8A1F1" w14:textId="77777777" w:rsidR="0065374A" w:rsidRDefault="0065374A" w:rsidP="0065374A">
                        <w:pPr>
                          <w:pStyle w:val="Heading2"/>
                          <w:spacing w:after="0"/>
                          <w:rPr>
                            <w:rFonts w:eastAsia="Times New Roman"/>
                          </w:rPr>
                        </w:pPr>
                        <w:r>
                          <w:rPr>
                            <w:rFonts w:eastAsia="Times New Roman"/>
                          </w:rPr>
                          <w:t>Regulations Officer job opportunity at PSNC</w:t>
                        </w:r>
                      </w:p>
                      <w:p w14:paraId="2C294CE7" w14:textId="22CEDBDB" w:rsidR="0065374A" w:rsidRDefault="0065374A" w:rsidP="0065374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is seeking to recruit a </w:t>
                        </w:r>
                        <w:r>
                          <w:rPr>
                            <w:rStyle w:val="Strong"/>
                            <w:rFonts w:ascii="Tahoma" w:eastAsia="Times New Roman" w:hAnsi="Tahoma" w:cs="Tahoma"/>
                            <w:color w:val="303030"/>
                            <w:sz w:val="21"/>
                            <w:szCs w:val="21"/>
                          </w:rPr>
                          <w:t>Regulations Officer</w:t>
                        </w:r>
                        <w:r>
                          <w:rPr>
                            <w:rFonts w:ascii="Tahoma" w:eastAsia="Times New Roman" w:hAnsi="Tahoma" w:cs="Tahoma"/>
                            <w:color w:val="303030"/>
                            <w:sz w:val="21"/>
                            <w:szCs w:val="21"/>
                          </w:rPr>
                          <w:t> to support its legislative and regulatory affairs work. The appointee will be responsible for providing guidance and support to pharmacy contractors, Local Pharmaceutical Committees (LPCs), and others on NHS-related legislative and regulatory matters.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Find out more about this vacancy and apply</w:t>
                          </w:r>
                        </w:hyperlink>
                      </w:p>
                    </w:tc>
                    <w:tc>
                      <w:tcPr>
                        <w:tcW w:w="150" w:type="dxa"/>
                        <w:vAlign w:val="center"/>
                        <w:hideMark/>
                      </w:tcPr>
                      <w:p w14:paraId="47781628" w14:textId="77777777" w:rsidR="0065374A" w:rsidRDefault="0065374A">
                        <w:pPr>
                          <w:rPr>
                            <w:rFonts w:ascii="Tahoma" w:eastAsia="Times New Roman" w:hAnsi="Tahoma" w:cs="Tahoma"/>
                            <w:color w:val="303030"/>
                            <w:sz w:val="21"/>
                            <w:szCs w:val="21"/>
                          </w:rPr>
                        </w:pPr>
                      </w:p>
                    </w:tc>
                  </w:tr>
                  <w:tr w:rsidR="0065374A" w14:paraId="72AD149C" w14:textId="77777777">
                    <w:trPr>
                      <w:trHeight w:val="150"/>
                      <w:tblCellSpacing w:w="15" w:type="dxa"/>
                      <w:jc w:val="center"/>
                    </w:trPr>
                    <w:tc>
                      <w:tcPr>
                        <w:tcW w:w="150" w:type="dxa"/>
                        <w:vAlign w:val="center"/>
                        <w:hideMark/>
                      </w:tcPr>
                      <w:p w14:paraId="6A3D86B1" w14:textId="77777777" w:rsidR="0065374A" w:rsidRDefault="0065374A">
                        <w:pPr>
                          <w:rPr>
                            <w:rFonts w:ascii="Times New Roman" w:eastAsia="Times New Roman" w:hAnsi="Times New Roman" w:cs="Times New Roman"/>
                            <w:sz w:val="20"/>
                            <w:szCs w:val="20"/>
                          </w:rPr>
                        </w:pPr>
                      </w:p>
                    </w:tc>
                    <w:tc>
                      <w:tcPr>
                        <w:tcW w:w="8700" w:type="dxa"/>
                        <w:vAlign w:val="center"/>
                        <w:hideMark/>
                      </w:tcPr>
                      <w:p w14:paraId="556534E0" w14:textId="77777777" w:rsidR="0065374A" w:rsidRDefault="0065374A">
                        <w:pPr>
                          <w:rPr>
                            <w:rFonts w:ascii="Times New Roman" w:eastAsia="Times New Roman" w:hAnsi="Times New Roman" w:cs="Times New Roman"/>
                            <w:sz w:val="20"/>
                            <w:szCs w:val="20"/>
                          </w:rPr>
                        </w:pPr>
                      </w:p>
                    </w:tc>
                    <w:tc>
                      <w:tcPr>
                        <w:tcW w:w="150" w:type="dxa"/>
                        <w:vAlign w:val="center"/>
                        <w:hideMark/>
                      </w:tcPr>
                      <w:p w14:paraId="26AA69E4" w14:textId="77777777" w:rsidR="0065374A" w:rsidRDefault="0065374A">
                        <w:pPr>
                          <w:rPr>
                            <w:rFonts w:ascii="Times New Roman" w:eastAsia="Times New Roman" w:hAnsi="Times New Roman" w:cs="Times New Roman"/>
                            <w:sz w:val="20"/>
                            <w:szCs w:val="20"/>
                          </w:rPr>
                        </w:pPr>
                      </w:p>
                    </w:tc>
                  </w:tr>
                </w:tbl>
                <w:p w14:paraId="74FC9B21" w14:textId="77777777" w:rsidR="0065374A" w:rsidRDefault="0065374A">
                  <w:pPr>
                    <w:jc w:val="center"/>
                    <w:rPr>
                      <w:rFonts w:ascii="Times New Roman" w:eastAsia="Times New Roman" w:hAnsi="Times New Roman" w:cs="Times New Roman"/>
                      <w:sz w:val="20"/>
                      <w:szCs w:val="20"/>
                    </w:rPr>
                  </w:pPr>
                </w:p>
              </w:tc>
            </w:tr>
          </w:tbl>
          <w:p w14:paraId="194C7AE9" w14:textId="77777777" w:rsidR="0065374A" w:rsidRDefault="0065374A">
            <w:pPr>
              <w:jc w:val="center"/>
              <w:rPr>
                <w:rFonts w:ascii="Times New Roman" w:eastAsia="Times New Roman" w:hAnsi="Times New Roman" w:cs="Times New Roman"/>
                <w:sz w:val="20"/>
                <w:szCs w:val="20"/>
              </w:rPr>
            </w:pPr>
          </w:p>
        </w:tc>
      </w:tr>
      <w:tr w:rsidR="0065374A" w14:paraId="7DB2A621" w14:textId="77777777" w:rsidTr="0065374A">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65374A" w14:paraId="6438A1F6"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65374A" w14:paraId="5F1006D6" w14:textId="77777777">
                    <w:trPr>
                      <w:tblCellSpacing w:w="0" w:type="dxa"/>
                      <w:jc w:val="center"/>
                    </w:trPr>
                    <w:tc>
                      <w:tcPr>
                        <w:tcW w:w="3000" w:type="dxa"/>
                        <w:tcMar>
                          <w:top w:w="30" w:type="dxa"/>
                          <w:left w:w="75" w:type="dxa"/>
                          <w:bottom w:w="30" w:type="dxa"/>
                          <w:right w:w="75" w:type="dxa"/>
                        </w:tcMar>
                        <w:hideMark/>
                      </w:tcPr>
                      <w:p w14:paraId="68D265B2" w14:textId="77777777" w:rsidR="0065374A" w:rsidRDefault="0065374A">
                        <w:pPr>
                          <w:pStyle w:val="Heading4"/>
                          <w:jc w:val="center"/>
                          <w:rPr>
                            <w:rFonts w:eastAsia="Times New Roman"/>
                          </w:rPr>
                        </w:pPr>
                        <w:r>
                          <w:rPr>
                            <w:rFonts w:eastAsia="Times New Roman"/>
                          </w:rPr>
                          <w:lastRenderedPageBreak/>
                          <w:t>Pharmaceutical Services Negotiating Committee</w:t>
                        </w:r>
                      </w:p>
                      <w:p w14:paraId="6A94461D" w14:textId="350AE191" w:rsidR="0065374A" w:rsidRDefault="0065374A">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2EC8F702" wp14:editId="0FD68DCE">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EB8CB16" wp14:editId="48F66257">
                              <wp:extent cx="609600" cy="304800"/>
                              <wp:effectExtent l="0" t="0" r="0" b="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253F025" wp14:editId="3B6BFF3B">
                              <wp:extent cx="609600" cy="304800"/>
                              <wp:effectExtent l="0" t="0" r="0" b="0"/>
                              <wp:docPr id="3" name="Picture 3">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9309DAD" wp14:editId="7697DF8B">
                              <wp:extent cx="609600" cy="304800"/>
                              <wp:effectExtent l="0" t="0" r="0" b="0"/>
                              <wp:docPr id="2" name="Picture 2">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5552A851" w14:textId="77777777" w:rsidR="0065374A" w:rsidRDefault="0065374A">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65374A" w14:paraId="1ACE92F9" w14:textId="77777777" w:rsidTr="0065374A">
                    <w:trPr>
                      <w:trHeight w:val="20"/>
                      <w:tblCellSpacing w:w="0" w:type="dxa"/>
                      <w:jc w:val="center"/>
                    </w:trPr>
                    <w:tc>
                      <w:tcPr>
                        <w:tcW w:w="9000" w:type="dxa"/>
                        <w:tcMar>
                          <w:top w:w="150" w:type="dxa"/>
                          <w:left w:w="0" w:type="dxa"/>
                          <w:bottom w:w="0" w:type="dxa"/>
                          <w:right w:w="0" w:type="dxa"/>
                        </w:tcMar>
                        <w:vAlign w:val="center"/>
                        <w:hideMark/>
                      </w:tcPr>
                      <w:p w14:paraId="04E330AA" w14:textId="538BBD8E" w:rsidR="0065374A" w:rsidRDefault="0065374A" w:rsidP="0065374A">
                        <w:pPr>
                          <w:rPr>
                            <w:rFonts w:ascii="Arial" w:eastAsia="Times New Roman" w:hAnsi="Arial" w:cs="Arial"/>
                            <w:color w:val="FFFFFF"/>
                            <w:sz w:val="17"/>
                            <w:szCs w:val="17"/>
                          </w:rPr>
                        </w:pPr>
                      </w:p>
                    </w:tc>
                  </w:tr>
                </w:tbl>
                <w:p w14:paraId="01E90A31" w14:textId="77777777" w:rsidR="0065374A" w:rsidRDefault="0065374A">
                  <w:pPr>
                    <w:jc w:val="center"/>
                    <w:rPr>
                      <w:rFonts w:ascii="Times New Roman" w:eastAsia="Times New Roman" w:hAnsi="Times New Roman" w:cs="Times New Roman"/>
                      <w:sz w:val="20"/>
                      <w:szCs w:val="20"/>
                    </w:rPr>
                  </w:pPr>
                </w:p>
              </w:tc>
            </w:tr>
          </w:tbl>
          <w:p w14:paraId="6BAA41FE" w14:textId="77777777" w:rsidR="0065374A" w:rsidRDefault="0065374A">
            <w:pPr>
              <w:jc w:val="center"/>
              <w:rPr>
                <w:rFonts w:ascii="Times New Roman" w:eastAsia="Times New Roman" w:hAnsi="Times New Roman" w:cs="Times New Roman"/>
                <w:sz w:val="20"/>
                <w:szCs w:val="20"/>
              </w:rPr>
            </w:pPr>
          </w:p>
        </w:tc>
      </w:tr>
    </w:tbl>
    <w:p w14:paraId="499C3FBE" w14:textId="28B0A44D" w:rsidR="0065374A" w:rsidRDefault="0065374A" w:rsidP="0065374A">
      <w:pPr>
        <w:rPr>
          <w:rFonts w:eastAsia="Times New Roman"/>
        </w:rPr>
      </w:pPr>
      <w:r>
        <w:rPr>
          <w:rFonts w:eastAsia="Times New Roman"/>
          <w:noProof/>
        </w:rPr>
        <w:drawing>
          <wp:inline distT="0" distB="0" distL="0" distR="0" wp14:anchorId="491DAE58" wp14:editId="28DFB1B1">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9BA5B09"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74A"/>
    <w:rsid w:val="0065374A"/>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5CC1F"/>
  <w15:chartTrackingRefBased/>
  <w15:docId w15:val="{A271EEFE-F48F-4F17-BF74-9D08E9DE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74A"/>
    <w:rPr>
      <w:rFonts w:ascii="Calibri" w:hAnsi="Calibri" w:cs="Calibri"/>
      <w:lang w:eastAsia="en-GB"/>
    </w:rPr>
  </w:style>
  <w:style w:type="paragraph" w:styleId="Heading1">
    <w:name w:val="heading 1"/>
    <w:basedOn w:val="Normal"/>
    <w:link w:val="Heading1Char"/>
    <w:uiPriority w:val="9"/>
    <w:qFormat/>
    <w:rsid w:val="0065374A"/>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65374A"/>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65374A"/>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74A"/>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65374A"/>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65374A"/>
    <w:rPr>
      <w:rFonts w:ascii="Tahoma" w:hAnsi="Tahoma" w:cs="Tahoma"/>
      <w:b/>
      <w:bCs/>
      <w:color w:val="FFFFFF"/>
      <w:sz w:val="18"/>
      <w:szCs w:val="18"/>
      <w:lang w:eastAsia="en-GB"/>
    </w:rPr>
  </w:style>
  <w:style w:type="paragraph" w:styleId="NormalWeb">
    <w:name w:val="Normal (Web)"/>
    <w:basedOn w:val="Normal"/>
    <w:uiPriority w:val="99"/>
    <w:semiHidden/>
    <w:unhideWhenUsed/>
    <w:rsid w:val="0065374A"/>
    <w:pPr>
      <w:spacing w:before="100" w:beforeAutospacing="1" w:after="100" w:afterAutospacing="1"/>
    </w:pPr>
  </w:style>
  <w:style w:type="character" w:styleId="Strong">
    <w:name w:val="Strong"/>
    <w:basedOn w:val="DefaultParagraphFont"/>
    <w:uiPriority w:val="22"/>
    <w:qFormat/>
    <w:rsid w:val="0065374A"/>
    <w:rPr>
      <w:b/>
      <w:bCs/>
    </w:rPr>
  </w:style>
  <w:style w:type="character" w:styleId="Hyperlink">
    <w:name w:val="Hyperlink"/>
    <w:basedOn w:val="DefaultParagraphFont"/>
    <w:uiPriority w:val="99"/>
    <w:semiHidden/>
    <w:unhideWhenUsed/>
    <w:rsid w:val="006537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71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c37372b51a&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7c0ba84c04&amp;e=d19e9fd41c" TargetMode="External"/><Relationship Id="rId26" Type="http://schemas.openxmlformats.org/officeDocument/2006/relationships/image" Target="https://psnc.us7.list-manage.com/track/open.php?u=86d41ab7fa4c7c2c5d7210782&amp;id=167f4b247a&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a2c49f632d&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e7f93d4a91&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93faa8c82b&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10da120ff5&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3fa3649bfe&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95eef3901b&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450</Words>
  <Characters>2565</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2022-05-17T09:44:00Z</dcterms:created>
  <dcterms:modified xsi:type="dcterms:W3CDTF">2022-05-17T09:48:00Z</dcterms:modified>
</cp:coreProperties>
</file>