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71F15" w14:paraId="49881500" w14:textId="77777777" w:rsidTr="00D71F1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1F15" w14:paraId="692C358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71F15" w14:paraId="6CC46DC0" w14:textId="77777777">
                    <w:trPr>
                      <w:tblCellSpacing w:w="0" w:type="dxa"/>
                      <w:jc w:val="center"/>
                    </w:trPr>
                    <w:tc>
                      <w:tcPr>
                        <w:tcW w:w="3000" w:type="dxa"/>
                        <w:hideMark/>
                      </w:tcPr>
                      <w:p w14:paraId="275B186A" w14:textId="77F989EB" w:rsidR="00D71F15" w:rsidRDefault="00D71F15" w:rsidP="00D71F1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6B35762" w14:textId="77777777" w:rsidR="00D71F15" w:rsidRDefault="00D71F15">
                  <w:pPr>
                    <w:jc w:val="center"/>
                    <w:rPr>
                      <w:rFonts w:ascii="Times New Roman" w:eastAsia="Times New Roman" w:hAnsi="Times New Roman" w:cs="Times New Roman"/>
                      <w:sz w:val="20"/>
                      <w:szCs w:val="20"/>
                    </w:rPr>
                  </w:pPr>
                </w:p>
              </w:tc>
            </w:tr>
            <w:tr w:rsidR="00D71F15" w14:paraId="4930D70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71F15" w14:paraId="259CA80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C69E5AC" w14:textId="21E67D2C" w:rsidR="00D71F15" w:rsidRDefault="00D71F15">
                        <w:pPr>
                          <w:jc w:val="center"/>
                          <w:rPr>
                            <w:rFonts w:eastAsia="Times New Roman"/>
                          </w:rPr>
                        </w:pPr>
                        <w:r>
                          <w:rPr>
                            <w:rFonts w:eastAsia="Times New Roman"/>
                            <w:noProof/>
                          </w:rPr>
                          <w:drawing>
                            <wp:inline distT="0" distB="0" distL="0" distR="0" wp14:anchorId="565B1F1E" wp14:editId="6F86D00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71F15" w14:paraId="67EE8A7F" w14:textId="77777777">
                    <w:trPr>
                      <w:tblCellSpacing w:w="0" w:type="dxa"/>
                    </w:trPr>
                    <w:tc>
                      <w:tcPr>
                        <w:tcW w:w="0" w:type="auto"/>
                        <w:vMerge/>
                        <w:tcBorders>
                          <w:top w:val="nil"/>
                          <w:left w:val="nil"/>
                          <w:bottom w:val="single" w:sz="2" w:space="0" w:color="FFFFFF"/>
                          <w:right w:val="nil"/>
                        </w:tcBorders>
                        <w:vAlign w:val="center"/>
                        <w:hideMark/>
                      </w:tcPr>
                      <w:p w14:paraId="05E75616" w14:textId="77777777" w:rsidR="00D71F15" w:rsidRDefault="00D71F15">
                        <w:pPr>
                          <w:rPr>
                            <w:rFonts w:ascii="Calibri" w:eastAsia="Times New Roman" w:hAnsi="Calibri" w:cs="Calibri"/>
                          </w:rPr>
                        </w:pPr>
                      </w:p>
                    </w:tc>
                    <w:tc>
                      <w:tcPr>
                        <w:tcW w:w="3450" w:type="dxa"/>
                        <w:tcBorders>
                          <w:top w:val="nil"/>
                          <w:left w:val="nil"/>
                          <w:bottom w:val="nil"/>
                          <w:right w:val="nil"/>
                        </w:tcBorders>
                        <w:vAlign w:val="center"/>
                        <w:hideMark/>
                      </w:tcPr>
                      <w:p w14:paraId="16DE444A" w14:textId="77777777" w:rsidR="00D71F15" w:rsidRDefault="00D71F15">
                        <w:pPr>
                          <w:pStyle w:val="Heading1"/>
                          <w:rPr>
                            <w:rFonts w:eastAsia="Times New Roman"/>
                          </w:rPr>
                        </w:pPr>
                        <w:r>
                          <w:rPr>
                            <w:rFonts w:eastAsia="Times New Roman"/>
                          </w:rPr>
                          <w:t>PSNC Newsletter</w:t>
                        </w:r>
                      </w:p>
                    </w:tc>
                  </w:tr>
                  <w:tr w:rsidR="00D71F15" w14:paraId="3CAC543F" w14:textId="77777777">
                    <w:trPr>
                      <w:tblCellSpacing w:w="0" w:type="dxa"/>
                    </w:trPr>
                    <w:tc>
                      <w:tcPr>
                        <w:tcW w:w="0" w:type="auto"/>
                        <w:vMerge/>
                        <w:tcBorders>
                          <w:top w:val="nil"/>
                          <w:left w:val="nil"/>
                          <w:bottom w:val="single" w:sz="2" w:space="0" w:color="FFFFFF"/>
                          <w:right w:val="nil"/>
                        </w:tcBorders>
                        <w:vAlign w:val="center"/>
                        <w:hideMark/>
                      </w:tcPr>
                      <w:p w14:paraId="45440C25" w14:textId="77777777" w:rsidR="00D71F15" w:rsidRDefault="00D71F15">
                        <w:pPr>
                          <w:rPr>
                            <w:rFonts w:ascii="Calibri" w:eastAsia="Times New Roman" w:hAnsi="Calibri" w:cs="Calibri"/>
                          </w:rPr>
                        </w:pPr>
                      </w:p>
                    </w:tc>
                    <w:tc>
                      <w:tcPr>
                        <w:tcW w:w="3450" w:type="dxa"/>
                        <w:tcBorders>
                          <w:top w:val="nil"/>
                          <w:left w:val="nil"/>
                          <w:bottom w:val="nil"/>
                          <w:right w:val="nil"/>
                        </w:tcBorders>
                        <w:tcMar>
                          <w:top w:w="30" w:type="dxa"/>
                          <w:left w:w="0" w:type="dxa"/>
                          <w:bottom w:w="30" w:type="dxa"/>
                          <w:right w:w="0" w:type="dxa"/>
                        </w:tcMar>
                        <w:vAlign w:val="center"/>
                        <w:hideMark/>
                      </w:tcPr>
                      <w:p w14:paraId="5E92B165" w14:textId="77777777" w:rsidR="00D71F15" w:rsidRDefault="00D71F15">
                        <w:pPr>
                          <w:pStyle w:val="Heading2"/>
                          <w:rPr>
                            <w:rFonts w:eastAsia="Times New Roman"/>
                            <w:color w:val="93378A"/>
                          </w:rPr>
                        </w:pPr>
                        <w:r>
                          <w:rPr>
                            <w:rFonts w:eastAsia="Times New Roman"/>
                            <w:color w:val="93378A"/>
                          </w:rPr>
                          <w:t>Friday 22nd April 2022</w:t>
                        </w:r>
                      </w:p>
                    </w:tc>
                  </w:tr>
                </w:tbl>
                <w:p w14:paraId="3A28C596" w14:textId="77777777" w:rsidR="00D71F15" w:rsidRDefault="00D71F15">
                  <w:pPr>
                    <w:rPr>
                      <w:rFonts w:ascii="Times New Roman" w:eastAsia="Times New Roman" w:hAnsi="Times New Roman" w:cs="Times New Roman"/>
                      <w:sz w:val="20"/>
                      <w:szCs w:val="20"/>
                    </w:rPr>
                  </w:pPr>
                </w:p>
              </w:tc>
            </w:tr>
            <w:tr w:rsidR="00D71F15" w14:paraId="636A5C7E" w14:textId="77777777">
              <w:tblPrEx>
                <w:shd w:val="clear" w:color="auto" w:fill="auto"/>
              </w:tblPrEx>
              <w:trPr>
                <w:tblCellSpacing w:w="0" w:type="dxa"/>
                <w:jc w:val="center"/>
              </w:trPr>
              <w:tc>
                <w:tcPr>
                  <w:tcW w:w="9000" w:type="dxa"/>
                  <w:hideMark/>
                </w:tcPr>
                <w:p w14:paraId="71B5B840" w14:textId="36DB7B7D" w:rsidR="00D71F15" w:rsidRDefault="00D71F15">
                  <w:pPr>
                    <w:rPr>
                      <w:rFonts w:ascii="Calibri" w:eastAsia="Times New Roman" w:hAnsi="Calibri" w:cs="Calibri"/>
                    </w:rPr>
                  </w:pPr>
                  <w:r>
                    <w:rPr>
                      <w:rFonts w:eastAsia="Times New Roman"/>
                      <w:noProof/>
                    </w:rPr>
                    <w:drawing>
                      <wp:inline distT="0" distB="0" distL="0" distR="0" wp14:anchorId="00C5A6E8" wp14:editId="1B84206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71F15" w14:paraId="0509E1A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71F15" w14:paraId="1F34D775" w14:textId="77777777">
                    <w:trPr>
                      <w:trHeight w:val="150"/>
                      <w:tblCellSpacing w:w="15" w:type="dxa"/>
                      <w:jc w:val="center"/>
                    </w:trPr>
                    <w:tc>
                      <w:tcPr>
                        <w:tcW w:w="150" w:type="dxa"/>
                        <w:vAlign w:val="center"/>
                        <w:hideMark/>
                      </w:tcPr>
                      <w:p w14:paraId="026B47B0" w14:textId="77777777" w:rsidR="00D71F15" w:rsidRDefault="00D71F15">
                        <w:pPr>
                          <w:rPr>
                            <w:rFonts w:eastAsia="Times New Roman"/>
                          </w:rPr>
                        </w:pPr>
                      </w:p>
                    </w:tc>
                    <w:tc>
                      <w:tcPr>
                        <w:tcW w:w="8700" w:type="dxa"/>
                        <w:vAlign w:val="center"/>
                        <w:hideMark/>
                      </w:tcPr>
                      <w:p w14:paraId="68A9CC5A" w14:textId="77777777" w:rsidR="00D71F15" w:rsidRDefault="00D71F15">
                        <w:pPr>
                          <w:rPr>
                            <w:rFonts w:ascii="Times New Roman" w:eastAsia="Times New Roman" w:hAnsi="Times New Roman" w:cs="Times New Roman"/>
                            <w:sz w:val="20"/>
                            <w:szCs w:val="20"/>
                          </w:rPr>
                        </w:pPr>
                      </w:p>
                    </w:tc>
                    <w:tc>
                      <w:tcPr>
                        <w:tcW w:w="150" w:type="dxa"/>
                        <w:vAlign w:val="center"/>
                        <w:hideMark/>
                      </w:tcPr>
                      <w:p w14:paraId="55119959" w14:textId="77777777" w:rsidR="00D71F15" w:rsidRDefault="00D71F15">
                        <w:pPr>
                          <w:rPr>
                            <w:rFonts w:ascii="Times New Roman" w:eastAsia="Times New Roman" w:hAnsi="Times New Roman" w:cs="Times New Roman"/>
                            <w:sz w:val="20"/>
                            <w:szCs w:val="20"/>
                          </w:rPr>
                        </w:pPr>
                      </w:p>
                    </w:tc>
                  </w:tr>
                  <w:tr w:rsidR="00D71F15" w14:paraId="7ADE3435" w14:textId="77777777">
                    <w:trPr>
                      <w:tblCellSpacing w:w="15" w:type="dxa"/>
                      <w:jc w:val="center"/>
                    </w:trPr>
                    <w:tc>
                      <w:tcPr>
                        <w:tcW w:w="150" w:type="dxa"/>
                        <w:vAlign w:val="center"/>
                        <w:hideMark/>
                      </w:tcPr>
                      <w:p w14:paraId="493A5B1A" w14:textId="77777777" w:rsidR="00D71F15" w:rsidRDefault="00D71F15">
                        <w:pPr>
                          <w:rPr>
                            <w:rFonts w:ascii="Times New Roman" w:eastAsia="Times New Roman" w:hAnsi="Times New Roman" w:cs="Times New Roman"/>
                            <w:sz w:val="20"/>
                            <w:szCs w:val="20"/>
                          </w:rPr>
                        </w:pPr>
                      </w:p>
                    </w:tc>
                    <w:tc>
                      <w:tcPr>
                        <w:tcW w:w="8700" w:type="dxa"/>
                        <w:vAlign w:val="center"/>
                        <w:hideMark/>
                      </w:tcPr>
                      <w:p w14:paraId="5EC5C5BE" w14:textId="77777777" w:rsidR="00D71F15" w:rsidRDefault="00D71F1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43FE6EF" w14:textId="77777777" w:rsidR="00D71F15" w:rsidRDefault="00D71F1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9A0C010">
                            <v:rect id="_x0000_i1032" style="width:468pt;height:1.5pt" o:hralign="center" o:hrstd="t" o:hr="t" fillcolor="#a0a0a0" stroked="f"/>
                          </w:pict>
                        </w:r>
                      </w:p>
                      <w:p w14:paraId="028B41A9" w14:textId="77777777" w:rsidR="00D71F15" w:rsidRDefault="00D71F15">
                        <w:pPr>
                          <w:pStyle w:val="Heading2"/>
                          <w:rPr>
                            <w:rFonts w:eastAsia="Times New Roman"/>
                          </w:rPr>
                        </w:pPr>
                        <w:r>
                          <w:rPr>
                            <w:rFonts w:eastAsia="Times New Roman"/>
                          </w:rPr>
                          <w:t xml:space="preserve">In this update: Flu vac letter for 2022/23 published; PSNC factsheet on accessing </w:t>
                        </w:r>
                        <w:proofErr w:type="spellStart"/>
                        <w:r>
                          <w:rPr>
                            <w:rFonts w:eastAsia="Times New Roman"/>
                          </w:rPr>
                          <w:t>NHSmail</w:t>
                        </w:r>
                        <w:proofErr w:type="spellEnd"/>
                        <w:r>
                          <w:rPr>
                            <w:rFonts w:eastAsia="Times New Roman"/>
                          </w:rPr>
                          <w:t xml:space="preserve"> on mobile devices; new MHRA Drug Safety Update; expected increase of DOACs.</w:t>
                        </w:r>
                      </w:p>
                      <w:p w14:paraId="336293E9" w14:textId="77777777" w:rsidR="00D71F15" w:rsidRDefault="00D71F1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F4FEFA">
                            <v:rect id="_x0000_i1033" style="width:468pt;height:1.5pt" o:hralign="center" o:hrstd="t" o:hr="t" fillcolor="#a0a0a0" stroked="f"/>
                          </w:pict>
                        </w:r>
                      </w:p>
                      <w:p w14:paraId="67D12F3B" w14:textId="77777777" w:rsidR="00D71F15" w:rsidRDefault="00D71F15" w:rsidP="00D71F15">
                        <w:pPr>
                          <w:pStyle w:val="Heading2"/>
                          <w:spacing w:after="0"/>
                          <w:rPr>
                            <w:rFonts w:eastAsia="Times New Roman"/>
                          </w:rPr>
                        </w:pPr>
                        <w:r>
                          <w:rPr>
                            <w:rFonts w:eastAsia="Times New Roman"/>
                          </w:rPr>
                          <w:t>Annual flu letter for 2022/23 published</w:t>
                        </w:r>
                      </w:p>
                      <w:p w14:paraId="5F0DD641" w14:textId="396BD78D"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the UK Health Security Agency (UKHSA) and NHS England and NHS Improvement (NHSE&amp;I) have </w:t>
                        </w:r>
                        <w:r>
                          <w:rPr>
                            <w:rStyle w:val="Strong"/>
                            <w:rFonts w:eastAsia="Times New Roman"/>
                            <w:color w:val="303030"/>
                            <w:sz w:val="21"/>
                            <w:szCs w:val="21"/>
                          </w:rPr>
                          <w:t>today</w:t>
                        </w:r>
                        <w:r>
                          <w:rPr>
                            <w:rFonts w:ascii="Tahoma" w:eastAsia="Times New Roman" w:hAnsi="Tahoma" w:cs="Tahoma"/>
                            <w:color w:val="303030"/>
                            <w:sz w:val="21"/>
                            <w:szCs w:val="21"/>
                          </w:rPr>
                          <w:t xml:space="preserve"> jointly published the annual flu vaccination programme letter for the 2022/23 flu vaccination season. </w:t>
                        </w:r>
                      </w:p>
                      <w:p w14:paraId="1C558967" w14:textId="77777777" w:rsidR="00D71F15" w:rsidRDefault="00D71F15" w:rsidP="00D71F15">
                        <w:pPr>
                          <w:pStyle w:val="NormalWeb"/>
                          <w:spacing w:before="0" w:beforeAutospacing="0" w:after="0" w:afterAutospacing="0" w:line="264" w:lineRule="auto"/>
                          <w:rPr>
                            <w:rFonts w:ascii="Tahoma" w:hAnsi="Tahoma" w:cs="Tahoma"/>
                            <w:color w:val="303030"/>
                            <w:sz w:val="21"/>
                            <w:szCs w:val="21"/>
                          </w:rPr>
                        </w:pPr>
                      </w:p>
                      <w:p w14:paraId="30E16411" w14:textId="79390A85" w:rsidR="00D71F15" w:rsidRDefault="00D71F15" w:rsidP="00D71F15">
                        <w:pPr>
                          <w:pStyle w:val="NormalWeb"/>
                          <w:spacing w:before="0" w:beforeAutospacing="0" w:after="0" w:afterAutospacing="0" w:line="264" w:lineRule="auto"/>
                          <w:rPr>
                            <w:rFonts w:ascii="Tahoma" w:eastAsiaTheme="minorHAnsi" w:hAnsi="Tahoma" w:cs="Tahoma"/>
                            <w:color w:val="303030"/>
                            <w:sz w:val="21"/>
                            <w:szCs w:val="21"/>
                          </w:rPr>
                        </w:pPr>
                        <w:r>
                          <w:rPr>
                            <w:rFonts w:ascii="Tahoma" w:hAnsi="Tahoma" w:cs="Tahoma"/>
                            <w:color w:val="303030"/>
                            <w:sz w:val="21"/>
                            <w:szCs w:val="21"/>
                          </w:rPr>
                          <w:t>The letter reconfirms the eligible cohorts for the 2022/23 season and the vaccines which will be reimbursable under the 2022/23 Community Pharmacy Seasonal Influenza Vaccination Advanced Service.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51C89B98" w14:textId="77777777"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E6A7F7">
                            <v:rect id="_x0000_i1034" style="width:468pt;height:1.5pt" o:hrstd="t" o:hr="t" fillcolor="#a0a0a0" stroked="f"/>
                          </w:pict>
                        </w:r>
                      </w:p>
                      <w:p w14:paraId="1805F1A2" w14:textId="77777777" w:rsidR="00D71F15" w:rsidRDefault="00D71F15" w:rsidP="00D71F15">
                        <w:pPr>
                          <w:pStyle w:val="Heading2"/>
                          <w:spacing w:after="0"/>
                          <w:rPr>
                            <w:rFonts w:eastAsia="Times New Roman"/>
                          </w:rPr>
                        </w:pPr>
                        <w:r>
                          <w:rPr>
                            <w:rFonts w:eastAsia="Times New Roman"/>
                          </w:rPr>
                          <w:t xml:space="preserve">PSNC factsheet about </w:t>
                        </w:r>
                        <w:proofErr w:type="spellStart"/>
                        <w:r>
                          <w:rPr>
                            <w:rFonts w:eastAsia="Times New Roman"/>
                          </w:rPr>
                          <w:t>NHSmail</w:t>
                        </w:r>
                        <w:proofErr w:type="spellEnd"/>
                        <w:r>
                          <w:rPr>
                            <w:rFonts w:eastAsia="Times New Roman"/>
                          </w:rPr>
                          <w:t xml:space="preserve"> on mobile devices</w:t>
                        </w:r>
                      </w:p>
                      <w:p w14:paraId="37139E68" w14:textId="1884FC47"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published a factsheet for community pharmacy teams explaining how to access the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inbox within the Outlook mobile app. The app provides quick and easy access to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and enables contractors to choose how and when they would like to be notified about incoming emails.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one-page factsheet provides a step-by-step guide on how to set-up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within Outlook apps and how to adjust notification settings.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factsheet</w:t>
                          </w:r>
                        </w:hyperlink>
                        <w:r>
                          <w:rPr>
                            <w:rFonts w:ascii="Tahoma" w:eastAsia="Times New Roman" w:hAnsi="Tahoma" w:cs="Tahoma"/>
                            <w:color w:val="303030"/>
                            <w:sz w:val="21"/>
                            <w:szCs w:val="21"/>
                          </w:rPr>
                          <w:t xml:space="preserve"> </w:t>
                        </w:r>
                      </w:p>
                      <w:p w14:paraId="06B0CB5C" w14:textId="77777777"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C6A532">
                            <v:rect id="_x0000_i1035" style="width:468pt;height:1.5pt" o:hrstd="t" o:hr="t" fillcolor="#a0a0a0" stroked="f"/>
                          </w:pict>
                        </w:r>
                      </w:p>
                      <w:p w14:paraId="47763827" w14:textId="77777777" w:rsidR="00D71F15" w:rsidRDefault="00D71F15" w:rsidP="00D71F15">
                        <w:pPr>
                          <w:pStyle w:val="Heading2"/>
                          <w:spacing w:after="0"/>
                          <w:rPr>
                            <w:rFonts w:eastAsia="Times New Roman"/>
                          </w:rPr>
                        </w:pPr>
                        <w:r>
                          <w:rPr>
                            <w:rFonts w:eastAsia="Times New Roman"/>
                          </w:rPr>
                          <w:t>April 2022 MHRA Drug Safety Update</w:t>
                        </w:r>
                      </w:p>
                      <w:p w14:paraId="1D54FEB2" w14:textId="4F06BDE6"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published a new Drug Safety Update containing updates on the findings of a safety study on the risks of Pregabalin use</w:t>
                        </w:r>
                        <w:r>
                          <w:rPr>
                            <w:rStyle w:val="Strong"/>
                            <w:rFonts w:eastAsia="Times New Roman"/>
                            <w:color w:val="303030"/>
                            <w:sz w:val="21"/>
                            <w:szCs w:val="21"/>
                          </w:rPr>
                          <w:t> </w:t>
                        </w:r>
                        <w:r>
                          <w:rPr>
                            <w:rFonts w:ascii="Tahoma" w:eastAsia="Times New Roman" w:hAnsi="Tahoma" w:cs="Tahoma"/>
                            <w:color w:val="303030"/>
                            <w:sz w:val="21"/>
                            <w:szCs w:val="21"/>
                          </w:rPr>
                          <w:t xml:space="preserve">during pregnancy, COVID-19 vaccines, medicines recalls and more. </w:t>
                        </w:r>
                      </w:p>
                      <w:p w14:paraId="50B002DC" w14:textId="77777777" w:rsidR="00D71F15" w:rsidRDefault="00D71F15" w:rsidP="00D71F15">
                        <w:pPr>
                          <w:spacing w:line="264" w:lineRule="auto"/>
                          <w:rPr>
                            <w:rFonts w:ascii="Tahoma" w:eastAsia="Times New Roman" w:hAnsi="Tahoma" w:cs="Tahoma"/>
                            <w:color w:val="303030"/>
                            <w:sz w:val="21"/>
                            <w:szCs w:val="21"/>
                          </w:rPr>
                        </w:pPr>
                      </w:p>
                      <w:p w14:paraId="60BBB3ED" w14:textId="77777777" w:rsidR="00D71F15" w:rsidRDefault="00D71F15" w:rsidP="00D71F15">
                        <w:pPr>
                          <w:pStyle w:val="NormalWeb"/>
                          <w:spacing w:before="0" w:beforeAutospacing="0" w:after="0" w:afterAutospacing="0" w:line="264" w:lineRule="auto"/>
                          <w:rPr>
                            <w:rFonts w:ascii="Tahoma" w:eastAsiaTheme="minorHAnsi" w:hAnsi="Tahoma" w:cs="Tahoma"/>
                            <w:color w:val="303030"/>
                            <w:sz w:val="21"/>
                            <w:szCs w:val="21"/>
                          </w:rPr>
                        </w:pPr>
                        <w:hyperlink r:id="rId11" w:tgtFrame="_blank" w:history="1">
                          <w:r>
                            <w:rPr>
                              <w:rStyle w:val="Hyperlink"/>
                              <w:rFonts w:ascii="Tahoma" w:hAnsi="Tahoma" w:cs="Tahoma"/>
                              <w:b/>
                              <w:bCs/>
                              <w:color w:val="4E3487"/>
                              <w:sz w:val="21"/>
                              <w:szCs w:val="21"/>
                            </w:rPr>
                            <w:t>Read the April 2022 MHRA Drug Safety Update</w:t>
                          </w:r>
                        </w:hyperlink>
                      </w:p>
                      <w:p w14:paraId="1BF26CF5" w14:textId="77777777"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BC2950">
                            <v:rect id="_x0000_i1036" style="width:468pt;height:1.5pt" o:hrstd="t" o:hr="t" fillcolor="#a0a0a0" stroked="f"/>
                          </w:pict>
                        </w:r>
                      </w:p>
                      <w:p w14:paraId="3E4AAF06" w14:textId="77777777" w:rsidR="00D71F15" w:rsidRDefault="00D71F15" w:rsidP="00D71F15">
                        <w:pPr>
                          <w:pStyle w:val="Heading2"/>
                          <w:spacing w:after="0"/>
                          <w:rPr>
                            <w:rFonts w:eastAsia="Times New Roman"/>
                          </w:rPr>
                        </w:pPr>
                        <w:r>
                          <w:rPr>
                            <w:rFonts w:eastAsia="Times New Roman"/>
                          </w:rPr>
                          <w:lastRenderedPageBreak/>
                          <w:t>New Commissioning Guidance for DOACs</w:t>
                        </w:r>
                      </w:p>
                      <w:p w14:paraId="52293F9D" w14:textId="0B6A97C1" w:rsidR="00D71F15" w:rsidRDefault="00D71F15" w:rsidP="00D71F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teams may see an increased number of prescriptions for direct oral anticoagulants (DOACs) following the recent publication of </w:t>
                        </w:r>
                        <w:hyperlink r:id="rId12" w:tgtFrame="_blank" w:tooltip="https://www.england.nhs.uk/publication/commissioning-recommendations-for-the-national-procurement-of-direct-acting-oral-anticoagulants-doacs/" w:history="1">
                          <w:r>
                            <w:rPr>
                              <w:rStyle w:val="Hyperlink"/>
                              <w:rFonts w:ascii="Tahoma" w:eastAsia="Times New Roman" w:hAnsi="Tahoma" w:cs="Tahoma"/>
                              <w:b/>
                              <w:bCs/>
                              <w:color w:val="4E3487"/>
                              <w:sz w:val="21"/>
                              <w:szCs w:val="21"/>
                            </w:rPr>
                            <w:t>NHS Commissioning Guidance</w:t>
                          </w:r>
                        </w:hyperlink>
                        <w:r>
                          <w:rPr>
                            <w:rFonts w:ascii="Tahoma" w:eastAsia="Times New Roman" w:hAnsi="Tahoma" w:cs="Tahoma"/>
                            <w:color w:val="303030"/>
                            <w:sz w:val="21"/>
                            <w:szCs w:val="21"/>
                          </w:rPr>
                          <w:t xml:space="preserve"> for DOACs. This guidance recommends that clinicians should, where clinically appropriate, use </w:t>
                        </w:r>
                        <w:proofErr w:type="spellStart"/>
                        <w:r>
                          <w:rPr>
                            <w:rFonts w:ascii="Tahoma" w:eastAsia="Times New Roman" w:hAnsi="Tahoma" w:cs="Tahoma"/>
                            <w:color w:val="303030"/>
                            <w:sz w:val="21"/>
                            <w:szCs w:val="21"/>
                          </w:rPr>
                          <w:t>edoxaban</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Lixiana</w:t>
                        </w:r>
                        <w:proofErr w:type="spellEnd"/>
                        <w:r>
                          <w:rPr>
                            <w:rFonts w:ascii="Tahoma" w:eastAsia="Times New Roman" w:hAnsi="Tahoma" w:cs="Tahoma"/>
                            <w:color w:val="303030"/>
                            <w:sz w:val="21"/>
                            <w:szCs w:val="21"/>
                          </w:rPr>
                          <w:t xml:space="preserve">) for the treatment of patients newly diagnosed with AF. </w:t>
                        </w:r>
                      </w:p>
                      <w:p w14:paraId="772A6E7B" w14:textId="77777777" w:rsidR="00D71F15" w:rsidRDefault="00D71F15" w:rsidP="00D71F15">
                        <w:pPr>
                          <w:pStyle w:val="NormalWeb"/>
                          <w:spacing w:before="0" w:beforeAutospacing="0" w:after="0" w:afterAutospacing="0" w:line="264" w:lineRule="auto"/>
                          <w:rPr>
                            <w:rFonts w:ascii="Tahoma" w:hAnsi="Tahoma" w:cs="Tahoma"/>
                            <w:color w:val="303030"/>
                            <w:sz w:val="21"/>
                            <w:szCs w:val="21"/>
                          </w:rPr>
                        </w:pPr>
                      </w:p>
                      <w:p w14:paraId="137A39FD" w14:textId="134C74D3" w:rsidR="00D71F15" w:rsidRDefault="00D71F15" w:rsidP="00D71F15">
                        <w:pPr>
                          <w:pStyle w:val="NormalWeb"/>
                          <w:spacing w:before="0" w:beforeAutospacing="0" w:after="0" w:afterAutospacing="0" w:line="264" w:lineRule="auto"/>
                          <w:rPr>
                            <w:rFonts w:ascii="Tahoma" w:eastAsiaTheme="minorHAnsi" w:hAnsi="Tahoma" w:cs="Tahoma"/>
                            <w:color w:val="303030"/>
                            <w:sz w:val="21"/>
                            <w:szCs w:val="21"/>
                          </w:rPr>
                        </w:pPr>
                        <w:r>
                          <w:rPr>
                            <w:rFonts w:ascii="Tahoma" w:hAnsi="Tahoma" w:cs="Tahoma"/>
                            <w:color w:val="303030"/>
                            <w:sz w:val="21"/>
                            <w:szCs w:val="21"/>
                          </w:rPr>
                          <w:t>The new guidance is part of plans by NHSE&amp;I to accelerate the uptake of direct oral anticoagulants (DOACs), which could see over 600,000 more patients with atrial fibrillation (AF) benefit over the next three years, preventing tens of thousands of stroke events.</w:t>
                        </w:r>
                      </w:p>
                      <w:p w14:paraId="16F278F0" w14:textId="77777777" w:rsidR="00D71F15" w:rsidRDefault="00D71F15" w:rsidP="00D71F15">
                        <w:pPr>
                          <w:pStyle w:val="NormalWeb"/>
                          <w:spacing w:before="0" w:beforeAutospacing="0" w:after="0" w:afterAutospacing="0" w:line="264" w:lineRule="auto"/>
                          <w:rPr>
                            <w:rFonts w:ascii="Tahoma" w:hAnsi="Tahoma" w:cs="Tahoma"/>
                            <w:color w:val="303030"/>
                            <w:sz w:val="21"/>
                            <w:szCs w:val="21"/>
                          </w:rPr>
                        </w:pPr>
                      </w:p>
                      <w:p w14:paraId="530F4B1E" w14:textId="31DD6EDA" w:rsidR="00D71F15" w:rsidRDefault="00D71F15" w:rsidP="00D71F1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Pharmacy teams may also see a greater number of patients currently on warfarin and other DOACs switched to </w:t>
                        </w:r>
                        <w:proofErr w:type="spellStart"/>
                        <w:r>
                          <w:rPr>
                            <w:rFonts w:ascii="Tahoma" w:hAnsi="Tahoma" w:cs="Tahoma"/>
                            <w:color w:val="303030"/>
                            <w:sz w:val="21"/>
                            <w:szCs w:val="21"/>
                          </w:rPr>
                          <w:t>edoxaban</w:t>
                        </w:r>
                        <w:proofErr w:type="spellEnd"/>
                        <w:r>
                          <w:rPr>
                            <w:rFonts w:ascii="Tahoma" w:hAnsi="Tahoma" w:cs="Tahoma"/>
                            <w:color w:val="303030"/>
                            <w:sz w:val="21"/>
                            <w:szCs w:val="21"/>
                          </w:rPr>
                          <w:t xml:space="preserve"> in the coming months. This is consistent with the updated </w:t>
                        </w:r>
                        <w:hyperlink r:id="rId13" w:tgtFrame="_blank" w:history="1">
                          <w:r>
                            <w:rPr>
                              <w:rStyle w:val="Hyperlink"/>
                              <w:rFonts w:ascii="Tahoma" w:hAnsi="Tahoma" w:cs="Tahoma"/>
                              <w:b/>
                              <w:bCs/>
                              <w:color w:val="4E3487"/>
                              <w:sz w:val="21"/>
                              <w:szCs w:val="21"/>
                            </w:rPr>
                            <w:t>AF guideline</w:t>
                          </w:r>
                        </w:hyperlink>
                        <w:r>
                          <w:rPr>
                            <w:rFonts w:ascii="Tahoma" w:hAnsi="Tahoma" w:cs="Tahoma"/>
                            <w:color w:val="303030"/>
                            <w:sz w:val="21"/>
                            <w:szCs w:val="21"/>
                          </w:rPr>
                          <w:t> from the National Institute for Health and Care Excellence (NICE) which recommends DOACs as the preferred anticoagulant for patients with AF, unless contraindicated, not tolerated or not suitable. </w:t>
                        </w:r>
                      </w:p>
                    </w:tc>
                    <w:tc>
                      <w:tcPr>
                        <w:tcW w:w="150" w:type="dxa"/>
                        <w:vAlign w:val="center"/>
                        <w:hideMark/>
                      </w:tcPr>
                      <w:p w14:paraId="0CC19E2F" w14:textId="77777777" w:rsidR="00D71F15" w:rsidRDefault="00D71F15">
                        <w:pPr>
                          <w:rPr>
                            <w:rFonts w:ascii="Tahoma" w:hAnsi="Tahoma" w:cs="Tahoma"/>
                            <w:color w:val="303030"/>
                            <w:sz w:val="21"/>
                            <w:szCs w:val="21"/>
                          </w:rPr>
                        </w:pPr>
                      </w:p>
                    </w:tc>
                  </w:tr>
                  <w:tr w:rsidR="00D71F15" w14:paraId="381B1ED3" w14:textId="77777777">
                    <w:trPr>
                      <w:trHeight w:val="150"/>
                      <w:tblCellSpacing w:w="15" w:type="dxa"/>
                      <w:jc w:val="center"/>
                    </w:trPr>
                    <w:tc>
                      <w:tcPr>
                        <w:tcW w:w="150" w:type="dxa"/>
                        <w:vAlign w:val="center"/>
                        <w:hideMark/>
                      </w:tcPr>
                      <w:p w14:paraId="3985CBDE" w14:textId="77777777" w:rsidR="00D71F15" w:rsidRDefault="00D71F15">
                        <w:pPr>
                          <w:rPr>
                            <w:rFonts w:ascii="Times New Roman" w:eastAsia="Times New Roman" w:hAnsi="Times New Roman" w:cs="Times New Roman"/>
                            <w:sz w:val="20"/>
                            <w:szCs w:val="20"/>
                          </w:rPr>
                        </w:pPr>
                      </w:p>
                    </w:tc>
                    <w:tc>
                      <w:tcPr>
                        <w:tcW w:w="8700" w:type="dxa"/>
                        <w:vAlign w:val="center"/>
                        <w:hideMark/>
                      </w:tcPr>
                      <w:p w14:paraId="5CEACBCE" w14:textId="77777777" w:rsidR="00D71F15" w:rsidRDefault="00D71F15">
                        <w:pPr>
                          <w:rPr>
                            <w:rFonts w:ascii="Times New Roman" w:eastAsia="Times New Roman" w:hAnsi="Times New Roman" w:cs="Times New Roman"/>
                            <w:sz w:val="20"/>
                            <w:szCs w:val="20"/>
                          </w:rPr>
                        </w:pPr>
                      </w:p>
                    </w:tc>
                    <w:tc>
                      <w:tcPr>
                        <w:tcW w:w="150" w:type="dxa"/>
                        <w:vAlign w:val="center"/>
                        <w:hideMark/>
                      </w:tcPr>
                      <w:p w14:paraId="3699749B" w14:textId="77777777" w:rsidR="00D71F15" w:rsidRDefault="00D71F15">
                        <w:pPr>
                          <w:rPr>
                            <w:rFonts w:ascii="Times New Roman" w:eastAsia="Times New Roman" w:hAnsi="Times New Roman" w:cs="Times New Roman"/>
                            <w:sz w:val="20"/>
                            <w:szCs w:val="20"/>
                          </w:rPr>
                        </w:pPr>
                      </w:p>
                    </w:tc>
                  </w:tr>
                </w:tbl>
                <w:p w14:paraId="037A4731" w14:textId="77777777" w:rsidR="00D71F15" w:rsidRDefault="00D71F15">
                  <w:pPr>
                    <w:jc w:val="center"/>
                    <w:rPr>
                      <w:rFonts w:ascii="Times New Roman" w:eastAsia="Times New Roman" w:hAnsi="Times New Roman" w:cs="Times New Roman"/>
                      <w:sz w:val="20"/>
                      <w:szCs w:val="20"/>
                    </w:rPr>
                  </w:pPr>
                </w:p>
              </w:tc>
            </w:tr>
          </w:tbl>
          <w:p w14:paraId="67231FCE" w14:textId="77777777" w:rsidR="00D71F15" w:rsidRDefault="00D71F15">
            <w:pPr>
              <w:jc w:val="center"/>
              <w:rPr>
                <w:rFonts w:ascii="Times New Roman" w:eastAsia="Times New Roman" w:hAnsi="Times New Roman" w:cs="Times New Roman"/>
                <w:sz w:val="20"/>
                <w:szCs w:val="20"/>
              </w:rPr>
            </w:pPr>
          </w:p>
        </w:tc>
      </w:tr>
      <w:tr w:rsidR="00D71F15" w14:paraId="5161F385" w14:textId="77777777" w:rsidTr="00D71F1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1F15" w14:paraId="05B66C0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71F15" w14:paraId="2317BCA9" w14:textId="77777777">
                    <w:trPr>
                      <w:tblCellSpacing w:w="0" w:type="dxa"/>
                      <w:jc w:val="center"/>
                    </w:trPr>
                    <w:tc>
                      <w:tcPr>
                        <w:tcW w:w="3000" w:type="dxa"/>
                        <w:tcMar>
                          <w:top w:w="30" w:type="dxa"/>
                          <w:left w:w="75" w:type="dxa"/>
                          <w:bottom w:w="30" w:type="dxa"/>
                          <w:right w:w="75" w:type="dxa"/>
                        </w:tcMar>
                        <w:hideMark/>
                      </w:tcPr>
                      <w:p w14:paraId="049A81D0" w14:textId="77777777" w:rsidR="00D71F15" w:rsidRDefault="00D71F15">
                        <w:pPr>
                          <w:pStyle w:val="Heading4"/>
                          <w:jc w:val="center"/>
                          <w:rPr>
                            <w:rFonts w:eastAsia="Times New Roman"/>
                          </w:rPr>
                        </w:pPr>
                        <w:r>
                          <w:rPr>
                            <w:rFonts w:eastAsia="Times New Roman"/>
                          </w:rPr>
                          <w:lastRenderedPageBreak/>
                          <w:t>Pharmaceutical Services Negotiating Committee</w:t>
                        </w:r>
                      </w:p>
                      <w:p w14:paraId="3672AFC0" w14:textId="5C14CC79" w:rsidR="00D71F15" w:rsidRDefault="00D71F1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E8993BD" wp14:editId="0963FE05">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F5A3E9" wp14:editId="249DF4F8">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9DEB00" wp14:editId="3AAC01AF">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4D322B" wp14:editId="722311B5">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8CD3283" w14:textId="77777777" w:rsidR="00D71F15" w:rsidRDefault="00D71F1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71F15" w14:paraId="74DDE058" w14:textId="77777777" w:rsidTr="00D71F15">
                    <w:trPr>
                      <w:trHeight w:val="24"/>
                      <w:tblCellSpacing w:w="0" w:type="dxa"/>
                      <w:jc w:val="center"/>
                    </w:trPr>
                    <w:tc>
                      <w:tcPr>
                        <w:tcW w:w="9000" w:type="dxa"/>
                        <w:tcMar>
                          <w:top w:w="150" w:type="dxa"/>
                          <w:left w:w="0" w:type="dxa"/>
                          <w:bottom w:w="0" w:type="dxa"/>
                          <w:right w:w="0" w:type="dxa"/>
                        </w:tcMar>
                        <w:vAlign w:val="center"/>
                        <w:hideMark/>
                      </w:tcPr>
                      <w:p w14:paraId="60AD568A" w14:textId="2B1263B6" w:rsidR="00D71F15" w:rsidRDefault="00D71F15" w:rsidP="00D71F15">
                        <w:pPr>
                          <w:rPr>
                            <w:rFonts w:ascii="Arial" w:eastAsia="Times New Roman" w:hAnsi="Arial" w:cs="Arial"/>
                            <w:color w:val="FFFFFF"/>
                            <w:sz w:val="17"/>
                            <w:szCs w:val="17"/>
                          </w:rPr>
                        </w:pPr>
                      </w:p>
                    </w:tc>
                  </w:tr>
                </w:tbl>
                <w:p w14:paraId="7EF4859A" w14:textId="77777777" w:rsidR="00D71F15" w:rsidRDefault="00D71F15">
                  <w:pPr>
                    <w:jc w:val="center"/>
                    <w:rPr>
                      <w:rFonts w:ascii="Times New Roman" w:eastAsia="Times New Roman" w:hAnsi="Times New Roman" w:cs="Times New Roman"/>
                      <w:sz w:val="20"/>
                      <w:szCs w:val="20"/>
                    </w:rPr>
                  </w:pPr>
                </w:p>
              </w:tc>
            </w:tr>
          </w:tbl>
          <w:p w14:paraId="425BA8A7" w14:textId="77777777" w:rsidR="00D71F15" w:rsidRDefault="00D71F15">
            <w:pPr>
              <w:jc w:val="center"/>
              <w:rPr>
                <w:rFonts w:ascii="Times New Roman" w:eastAsia="Times New Roman" w:hAnsi="Times New Roman" w:cs="Times New Roman"/>
                <w:sz w:val="20"/>
                <w:szCs w:val="20"/>
              </w:rPr>
            </w:pPr>
          </w:p>
        </w:tc>
      </w:tr>
    </w:tbl>
    <w:p w14:paraId="35C821E3" w14:textId="2317B06F" w:rsidR="00D71F15" w:rsidRDefault="00D71F15" w:rsidP="00D71F15">
      <w:pPr>
        <w:rPr>
          <w:rFonts w:ascii="Calibri" w:eastAsia="Times New Roman" w:hAnsi="Calibri" w:cs="Calibri"/>
        </w:rPr>
      </w:pPr>
      <w:r>
        <w:rPr>
          <w:rFonts w:eastAsia="Times New Roman"/>
          <w:noProof/>
        </w:rPr>
        <w:drawing>
          <wp:inline distT="0" distB="0" distL="0" distR="0" wp14:anchorId="5D8A8D49" wp14:editId="07BAC4A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640E86" w14:textId="77777777" w:rsidR="00B8410C" w:rsidRPr="00D36B74" w:rsidRDefault="00B8410C" w:rsidP="00D71F15">
      <w:pPr>
        <w:rPr>
          <w:lang w:val="en-US"/>
        </w:rPr>
      </w:pPr>
    </w:p>
    <w:sectPr w:rsidR="00B8410C" w:rsidRPr="00D36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20FCF"/>
    <w:multiLevelType w:val="multilevel"/>
    <w:tmpl w:val="352AE6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761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74"/>
    <w:rsid w:val="00222991"/>
    <w:rsid w:val="0051442F"/>
    <w:rsid w:val="00663242"/>
    <w:rsid w:val="00833D23"/>
    <w:rsid w:val="00925B18"/>
    <w:rsid w:val="00AC0A6A"/>
    <w:rsid w:val="00B8410C"/>
    <w:rsid w:val="00D36B74"/>
    <w:rsid w:val="00D71F15"/>
    <w:rsid w:val="00DD1890"/>
    <w:rsid w:val="00E56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7D22"/>
  <w15:chartTrackingRefBased/>
  <w15:docId w15:val="{72715F90-8596-4F9E-96A0-9D863F3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1F15"/>
    <w:pPr>
      <w:spacing w:after="75" w:line="264" w:lineRule="auto"/>
      <w:outlineLvl w:val="0"/>
    </w:pPr>
    <w:rPr>
      <w:rFonts w:ascii="Tahoma" w:hAnsi="Tahoma" w:cs="Tahoma"/>
      <w:b/>
      <w:bCs/>
      <w:color w:val="4E3487"/>
      <w:kern w:val="36"/>
      <w:sz w:val="54"/>
      <w:szCs w:val="54"/>
      <w:lang w:eastAsia="en-GB"/>
    </w:rPr>
  </w:style>
  <w:style w:type="paragraph" w:styleId="Heading2">
    <w:name w:val="heading 2"/>
    <w:basedOn w:val="Normal"/>
    <w:link w:val="Heading2Char"/>
    <w:uiPriority w:val="9"/>
    <w:unhideWhenUsed/>
    <w:qFormat/>
    <w:rsid w:val="00D71F15"/>
    <w:pPr>
      <w:spacing w:after="75" w:line="264" w:lineRule="auto"/>
      <w:outlineLvl w:val="1"/>
    </w:pPr>
    <w:rPr>
      <w:rFonts w:ascii="Tahoma" w:hAnsi="Tahoma" w:cs="Tahoma"/>
      <w:b/>
      <w:bCs/>
      <w:color w:val="4E3487"/>
      <w:sz w:val="30"/>
      <w:szCs w:val="30"/>
      <w:lang w:eastAsia="en-GB"/>
    </w:rPr>
  </w:style>
  <w:style w:type="paragraph" w:styleId="Heading4">
    <w:name w:val="heading 4"/>
    <w:basedOn w:val="Normal"/>
    <w:link w:val="Heading4Char"/>
    <w:uiPriority w:val="9"/>
    <w:semiHidden/>
    <w:unhideWhenUsed/>
    <w:qFormat/>
    <w:rsid w:val="00D71F15"/>
    <w:pPr>
      <w:spacing w:after="75" w:line="264" w:lineRule="auto"/>
      <w:outlineLvl w:val="3"/>
    </w:pPr>
    <w:rPr>
      <w:rFonts w:ascii="Tahoma" w:hAnsi="Tahoma" w:cs="Tahoma"/>
      <w:b/>
      <w:bCs/>
      <w:color w:val="FFFFFF"/>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10C"/>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410C"/>
    <w:rPr>
      <w:color w:val="0000FF"/>
      <w:u w:val="single"/>
    </w:rPr>
  </w:style>
  <w:style w:type="character" w:styleId="UnresolvedMention">
    <w:name w:val="Unresolved Mention"/>
    <w:basedOn w:val="DefaultParagraphFont"/>
    <w:uiPriority w:val="99"/>
    <w:semiHidden/>
    <w:unhideWhenUsed/>
    <w:rsid w:val="0051442F"/>
    <w:rPr>
      <w:color w:val="605E5C"/>
      <w:shd w:val="clear" w:color="auto" w:fill="E1DFDD"/>
    </w:rPr>
  </w:style>
  <w:style w:type="character" w:customStyle="1" w:styleId="Heading1Char">
    <w:name w:val="Heading 1 Char"/>
    <w:basedOn w:val="DefaultParagraphFont"/>
    <w:link w:val="Heading1"/>
    <w:uiPriority w:val="9"/>
    <w:rsid w:val="00D71F1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D71F1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71F15"/>
    <w:rPr>
      <w:rFonts w:ascii="Tahoma" w:hAnsi="Tahoma" w:cs="Tahoma"/>
      <w:b/>
      <w:bCs/>
      <w:color w:val="FFFFFF"/>
      <w:sz w:val="18"/>
      <w:szCs w:val="18"/>
      <w:lang w:eastAsia="en-GB"/>
    </w:rPr>
  </w:style>
  <w:style w:type="character" w:styleId="Strong">
    <w:name w:val="Strong"/>
    <w:basedOn w:val="DefaultParagraphFont"/>
    <w:uiPriority w:val="22"/>
    <w:qFormat/>
    <w:rsid w:val="00D71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53739">
      <w:bodyDiv w:val="1"/>
      <w:marLeft w:val="0"/>
      <w:marRight w:val="0"/>
      <w:marTop w:val="0"/>
      <w:marBottom w:val="0"/>
      <w:divBdr>
        <w:top w:val="none" w:sz="0" w:space="0" w:color="auto"/>
        <w:left w:val="none" w:sz="0" w:space="0" w:color="auto"/>
        <w:bottom w:val="none" w:sz="0" w:space="0" w:color="auto"/>
        <w:right w:val="none" w:sz="0" w:space="0" w:color="auto"/>
      </w:divBdr>
    </w:div>
    <w:div w:id="653023685">
      <w:bodyDiv w:val="1"/>
      <w:marLeft w:val="0"/>
      <w:marRight w:val="0"/>
      <w:marTop w:val="0"/>
      <w:marBottom w:val="0"/>
      <w:divBdr>
        <w:top w:val="none" w:sz="0" w:space="0" w:color="auto"/>
        <w:left w:val="none" w:sz="0" w:space="0" w:color="auto"/>
        <w:bottom w:val="none" w:sz="0" w:space="0" w:color="auto"/>
        <w:right w:val="none" w:sz="0" w:space="0" w:color="auto"/>
      </w:divBdr>
    </w:div>
    <w:div w:id="18493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90d28d1585&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c6cf55ee3f&amp;e=d19e9fd41c" TargetMode="External"/><Relationship Id="rId17" Type="http://schemas.openxmlformats.org/officeDocument/2006/relationships/hyperlink" Target="https://psnc.us7.list-manage.com/track/click?u=86d41ab7fa4c7c2c5d7210782&amp;id=52431faa1b&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9fe531fa3b&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d0df3ee44&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eaff2657d2&amp;e=d19e9fd41c" TargetMode="External"/><Relationship Id="rId28" Type="http://schemas.openxmlformats.org/officeDocument/2006/relationships/image" Target="https://psnc.us7.list-manage.com/track/open.php?u=86d41ab7fa4c7c2c5d7210782&amp;id=67b08d6e98&amp;e=d19e9fd41c" TargetMode="External"/><Relationship Id="rId10" Type="http://schemas.openxmlformats.org/officeDocument/2006/relationships/hyperlink" Target="https://psnc.us7.list-manage.com/track/click?u=86d41ab7fa4c7c2c5d7210782&amp;id=9f81a1bcaa&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97bc855c3&amp;e=d19e9fd41c" TargetMode="External"/><Relationship Id="rId14" Type="http://schemas.openxmlformats.org/officeDocument/2006/relationships/hyperlink" Target="https://psnc.us7.list-manage.com/track/click?u=86d41ab7fa4c7c2c5d7210782&amp;id=0fcb3c42e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2022-04-21T13:24:00Z</dcterms:created>
  <dcterms:modified xsi:type="dcterms:W3CDTF">2022-04-25T07:38:00Z</dcterms:modified>
</cp:coreProperties>
</file>