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1561B" w14:paraId="71E6EAC3" w14:textId="77777777" w:rsidTr="0061561B">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61561B" w14:paraId="1AC59D14" w14:textId="77777777" w:rsidTr="0061561B">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1561B" w14:paraId="418CF356" w14:textId="77777777">
                    <w:trPr>
                      <w:tblCellSpacing w:w="0" w:type="dxa"/>
                      <w:jc w:val="center"/>
                    </w:trPr>
                    <w:tc>
                      <w:tcPr>
                        <w:tcW w:w="3000" w:type="dxa"/>
                        <w:hideMark/>
                      </w:tcPr>
                      <w:p w14:paraId="191B25FC" w14:textId="0617CF0F" w:rsidR="0061561B" w:rsidRDefault="0061561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7600C52" w14:textId="77777777" w:rsidR="0061561B" w:rsidRDefault="0061561B">
                  <w:pPr>
                    <w:jc w:val="center"/>
                    <w:rPr>
                      <w:rFonts w:ascii="Times New Roman" w:eastAsia="Times New Roman" w:hAnsi="Times New Roman" w:cs="Times New Roman"/>
                      <w:sz w:val="20"/>
                      <w:szCs w:val="20"/>
                    </w:rPr>
                  </w:pPr>
                </w:p>
              </w:tc>
            </w:tr>
            <w:tr w:rsidR="0061561B" w14:paraId="74F7DF66" w14:textId="77777777" w:rsidTr="0061561B">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61561B" w14:paraId="7598A16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2572E50" w14:textId="76C501CE" w:rsidR="0061561B" w:rsidRDefault="0061561B">
                        <w:pPr>
                          <w:jc w:val="center"/>
                          <w:rPr>
                            <w:rFonts w:eastAsia="Times New Roman"/>
                          </w:rPr>
                        </w:pPr>
                        <w:r>
                          <w:rPr>
                            <w:rFonts w:eastAsia="Times New Roman"/>
                            <w:noProof/>
                            <w:color w:val="0000FF"/>
                          </w:rPr>
                          <w:drawing>
                            <wp:inline distT="0" distB="0" distL="0" distR="0" wp14:anchorId="40C1092E" wp14:editId="085D1A42">
                              <wp:extent cx="2857500" cy="1504950"/>
                              <wp:effectExtent l="0" t="0" r="0" b="0"/>
                              <wp:docPr id="2" name="Picture 2">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61561B" w14:paraId="4E4F4BBF" w14:textId="77777777">
                    <w:trPr>
                      <w:tblCellSpacing w:w="0" w:type="dxa"/>
                    </w:trPr>
                    <w:tc>
                      <w:tcPr>
                        <w:tcW w:w="0" w:type="auto"/>
                        <w:vMerge/>
                        <w:tcBorders>
                          <w:top w:val="nil"/>
                          <w:left w:val="nil"/>
                          <w:bottom w:val="single" w:sz="2" w:space="0" w:color="FFFFFF"/>
                          <w:right w:val="nil"/>
                        </w:tcBorders>
                        <w:vAlign w:val="center"/>
                        <w:hideMark/>
                      </w:tcPr>
                      <w:p w14:paraId="7B75E827" w14:textId="77777777" w:rsidR="0061561B" w:rsidRDefault="0061561B">
                        <w:pPr>
                          <w:rPr>
                            <w:rFonts w:eastAsia="Times New Roman"/>
                          </w:rPr>
                        </w:pPr>
                      </w:p>
                    </w:tc>
                    <w:tc>
                      <w:tcPr>
                        <w:tcW w:w="3450" w:type="dxa"/>
                        <w:tcBorders>
                          <w:top w:val="nil"/>
                          <w:left w:val="nil"/>
                          <w:bottom w:val="nil"/>
                          <w:right w:val="nil"/>
                        </w:tcBorders>
                        <w:vAlign w:val="center"/>
                        <w:hideMark/>
                      </w:tcPr>
                      <w:p w14:paraId="75580F49" w14:textId="77777777" w:rsidR="0061561B" w:rsidRDefault="0061561B">
                        <w:pPr>
                          <w:pStyle w:val="Heading1"/>
                          <w:rPr>
                            <w:rFonts w:eastAsia="Times New Roman"/>
                          </w:rPr>
                        </w:pPr>
                        <w:r>
                          <w:rPr>
                            <w:rFonts w:eastAsia="Times New Roman"/>
                          </w:rPr>
                          <w:t>Pharmacy Review Update</w:t>
                        </w:r>
                      </w:p>
                    </w:tc>
                  </w:tr>
                  <w:tr w:rsidR="0061561B" w14:paraId="0FFFDF39" w14:textId="77777777">
                    <w:trPr>
                      <w:tblCellSpacing w:w="0" w:type="dxa"/>
                    </w:trPr>
                    <w:tc>
                      <w:tcPr>
                        <w:tcW w:w="0" w:type="auto"/>
                        <w:vMerge/>
                        <w:tcBorders>
                          <w:top w:val="nil"/>
                          <w:left w:val="nil"/>
                          <w:bottom w:val="single" w:sz="2" w:space="0" w:color="FFFFFF"/>
                          <w:right w:val="nil"/>
                        </w:tcBorders>
                        <w:vAlign w:val="center"/>
                        <w:hideMark/>
                      </w:tcPr>
                      <w:p w14:paraId="5319AB56" w14:textId="77777777" w:rsidR="0061561B" w:rsidRDefault="0061561B">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ACEF0FD" w14:textId="77777777" w:rsidR="0061561B" w:rsidRDefault="0061561B">
                        <w:pPr>
                          <w:pStyle w:val="Heading2"/>
                          <w:rPr>
                            <w:rFonts w:eastAsia="Times New Roman"/>
                            <w:color w:val="3D857F"/>
                          </w:rPr>
                        </w:pPr>
                        <w:r>
                          <w:rPr>
                            <w:rFonts w:eastAsia="Times New Roman"/>
                            <w:color w:val="3D857F"/>
                          </w:rPr>
                          <w:t>Tuesday 19th April 2022</w:t>
                        </w:r>
                      </w:p>
                    </w:tc>
                  </w:tr>
                </w:tbl>
                <w:p w14:paraId="662341DB" w14:textId="77777777" w:rsidR="0061561B" w:rsidRDefault="0061561B">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61561B" w14:paraId="6B360B7E" w14:textId="77777777">
                    <w:trPr>
                      <w:tblCellSpacing w:w="0" w:type="dxa"/>
                    </w:trPr>
                    <w:tc>
                      <w:tcPr>
                        <w:tcW w:w="0" w:type="auto"/>
                        <w:shd w:val="clear" w:color="auto" w:fill="3D857F"/>
                        <w:tcMar>
                          <w:top w:w="75" w:type="dxa"/>
                          <w:left w:w="75" w:type="dxa"/>
                          <w:bottom w:w="75" w:type="dxa"/>
                          <w:right w:w="75" w:type="dxa"/>
                        </w:tcMar>
                        <w:vAlign w:val="center"/>
                        <w:hideMark/>
                      </w:tcPr>
                      <w:p w14:paraId="71A25894" w14:textId="75B9AB12" w:rsidR="0061561B" w:rsidRDefault="0061561B">
                        <w:pPr>
                          <w:pStyle w:val="Heading4"/>
                          <w:jc w:val="center"/>
                          <w:rPr>
                            <w:rFonts w:eastAsia="Times New Roman"/>
                          </w:rPr>
                        </w:pPr>
                      </w:p>
                    </w:tc>
                    <w:tc>
                      <w:tcPr>
                        <w:tcW w:w="0" w:type="auto"/>
                        <w:shd w:val="clear" w:color="auto" w:fill="3D857F"/>
                        <w:tcMar>
                          <w:top w:w="75" w:type="dxa"/>
                          <w:left w:w="75" w:type="dxa"/>
                          <w:bottom w:w="75" w:type="dxa"/>
                          <w:right w:w="75" w:type="dxa"/>
                        </w:tcMar>
                        <w:vAlign w:val="center"/>
                        <w:hideMark/>
                      </w:tcPr>
                      <w:p w14:paraId="7C2D26CA" w14:textId="775EEC20" w:rsidR="0061561B" w:rsidRDefault="0061561B">
                        <w:pPr>
                          <w:pStyle w:val="Heading4"/>
                          <w:jc w:val="center"/>
                          <w:rPr>
                            <w:rFonts w:eastAsia="Times New Roman"/>
                          </w:rPr>
                        </w:pPr>
                      </w:p>
                    </w:tc>
                  </w:tr>
                </w:tbl>
                <w:p w14:paraId="1363C136" w14:textId="77777777" w:rsidR="0061561B" w:rsidRDefault="0061561B">
                  <w:pPr>
                    <w:rPr>
                      <w:rFonts w:ascii="Times New Roman" w:eastAsia="Times New Roman" w:hAnsi="Times New Roman" w:cs="Times New Roman"/>
                      <w:sz w:val="20"/>
                      <w:szCs w:val="20"/>
                    </w:rPr>
                  </w:pPr>
                </w:p>
              </w:tc>
            </w:tr>
            <w:tr w:rsidR="0061561B" w14:paraId="07D65C3B" w14:textId="77777777" w:rsidTr="0061561B">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1561B" w14:paraId="07C5AF46" w14:textId="77777777">
                    <w:trPr>
                      <w:trHeight w:val="150"/>
                      <w:tblCellSpacing w:w="15" w:type="dxa"/>
                      <w:jc w:val="center"/>
                    </w:trPr>
                    <w:tc>
                      <w:tcPr>
                        <w:tcW w:w="150" w:type="dxa"/>
                        <w:vAlign w:val="center"/>
                        <w:hideMark/>
                      </w:tcPr>
                      <w:p w14:paraId="64424164" w14:textId="77777777" w:rsidR="0061561B" w:rsidRDefault="0061561B"/>
                    </w:tc>
                    <w:tc>
                      <w:tcPr>
                        <w:tcW w:w="8700" w:type="dxa"/>
                        <w:vAlign w:val="center"/>
                        <w:hideMark/>
                      </w:tcPr>
                      <w:p w14:paraId="5CD3848D" w14:textId="77777777" w:rsidR="0061561B" w:rsidRDefault="0061561B">
                        <w:pPr>
                          <w:rPr>
                            <w:rFonts w:ascii="Times New Roman" w:eastAsia="Times New Roman" w:hAnsi="Times New Roman" w:cs="Times New Roman"/>
                            <w:sz w:val="20"/>
                            <w:szCs w:val="20"/>
                          </w:rPr>
                        </w:pPr>
                      </w:p>
                    </w:tc>
                    <w:tc>
                      <w:tcPr>
                        <w:tcW w:w="150" w:type="dxa"/>
                        <w:vAlign w:val="center"/>
                        <w:hideMark/>
                      </w:tcPr>
                      <w:p w14:paraId="3990EC4A" w14:textId="77777777" w:rsidR="0061561B" w:rsidRDefault="0061561B">
                        <w:pPr>
                          <w:rPr>
                            <w:rFonts w:ascii="Times New Roman" w:eastAsia="Times New Roman" w:hAnsi="Times New Roman" w:cs="Times New Roman"/>
                            <w:sz w:val="20"/>
                            <w:szCs w:val="20"/>
                          </w:rPr>
                        </w:pPr>
                      </w:p>
                    </w:tc>
                  </w:tr>
                  <w:tr w:rsidR="0061561B" w14:paraId="5B1EB03D" w14:textId="77777777">
                    <w:trPr>
                      <w:tblCellSpacing w:w="15" w:type="dxa"/>
                      <w:jc w:val="center"/>
                    </w:trPr>
                    <w:tc>
                      <w:tcPr>
                        <w:tcW w:w="150" w:type="dxa"/>
                        <w:vAlign w:val="center"/>
                        <w:hideMark/>
                      </w:tcPr>
                      <w:p w14:paraId="45E1C27B" w14:textId="77777777" w:rsidR="0061561B" w:rsidRDefault="0061561B">
                        <w:pPr>
                          <w:rPr>
                            <w:rFonts w:ascii="Times New Roman" w:eastAsia="Times New Roman" w:hAnsi="Times New Roman" w:cs="Times New Roman"/>
                            <w:sz w:val="20"/>
                            <w:szCs w:val="20"/>
                          </w:rPr>
                        </w:pPr>
                      </w:p>
                    </w:tc>
                    <w:tc>
                      <w:tcPr>
                        <w:tcW w:w="8700" w:type="dxa"/>
                        <w:vAlign w:val="center"/>
                        <w:hideMark/>
                      </w:tcPr>
                      <w:p w14:paraId="00EECF6A" w14:textId="77777777" w:rsidR="0061561B" w:rsidRDefault="0061561B" w:rsidP="0061561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update from the Review Steering Group contains information on its work to try to improve community pharmacy contractor support and representation.</w:t>
                        </w:r>
                      </w:p>
                      <w:p w14:paraId="6497CA1B" w14:textId="77777777" w:rsidR="0061561B" w:rsidRDefault="0061561B" w:rsidP="0061561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89F204">
                            <v:rect id="_x0000_i1027" style="width:468pt;height:1.5pt" o:hrstd="t" o:hr="t" fillcolor="#a0a0a0" stroked="f"/>
                          </w:pict>
                        </w:r>
                      </w:p>
                      <w:p w14:paraId="2E315B48" w14:textId="77777777" w:rsidR="0061561B" w:rsidRDefault="0061561B" w:rsidP="0061561B">
                        <w:pPr>
                          <w:pStyle w:val="Heading2"/>
                          <w:spacing w:after="0"/>
                          <w:rPr>
                            <w:rFonts w:eastAsia="Times New Roman"/>
                          </w:rPr>
                        </w:pPr>
                        <w:r>
                          <w:rPr>
                            <w:rFonts w:eastAsia="Times New Roman"/>
                          </w:rPr>
                          <w:t>RSG proposals being finalised and upcoming contractor briefing events</w:t>
                        </w:r>
                      </w:p>
                      <w:p w14:paraId="3687A68F" w14:textId="77777777" w:rsidR="0061561B" w:rsidRDefault="0061561B" w:rsidP="0061561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announced previously, the Pharmacy Review Steering Group (RSG) has reached agreement on a proposed way forward to ensure that the support and services offered by PSNC and the LPCs are fit for the future. The RSG is currently in the process of finalising its proposals and they are due to be published during the </w:t>
                        </w:r>
                        <w:r>
                          <w:rPr>
                            <w:rStyle w:val="Strong"/>
                            <w:rFonts w:ascii="Tahoma" w:hAnsi="Tahoma" w:cs="Tahoma"/>
                            <w:color w:val="303030"/>
                            <w:sz w:val="21"/>
                            <w:szCs w:val="21"/>
                          </w:rPr>
                          <w:t>w/c 25th April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Contractors will have four weeks to read the proposals after which they will be asked to vote to either accept, or reject, the proposals in full. A three-week voting period will start in the </w:t>
                        </w:r>
                        <w:r>
                          <w:rPr>
                            <w:rStyle w:val="Strong"/>
                            <w:rFonts w:ascii="Tahoma" w:hAnsi="Tahoma" w:cs="Tahoma"/>
                            <w:color w:val="303030"/>
                            <w:sz w:val="21"/>
                            <w:szCs w:val="21"/>
                          </w:rPr>
                          <w:t>w/c 23rd May, </w:t>
                        </w:r>
                        <w:r>
                          <w:rPr>
                            <w:rFonts w:ascii="Tahoma" w:hAnsi="Tahoma" w:cs="Tahoma"/>
                            <w:color w:val="303030"/>
                            <w:sz w:val="21"/>
                            <w:szCs w:val="21"/>
                          </w:rPr>
                          <w:t>during which contractors can cast their vote using a secure and trusted online voting system.</w:t>
                        </w:r>
                        <w:r>
                          <w:rPr>
                            <w:rFonts w:ascii="Tahoma" w:hAnsi="Tahoma" w:cs="Tahoma"/>
                            <w:color w:val="303030"/>
                            <w:sz w:val="21"/>
                            <w:szCs w:val="21"/>
                          </w:rPr>
                          <w:br/>
                        </w:r>
                        <w:r>
                          <w:rPr>
                            <w:rFonts w:ascii="Tahoma" w:hAnsi="Tahoma" w:cs="Tahoma"/>
                            <w:color w:val="303030"/>
                            <w:sz w:val="21"/>
                            <w:szCs w:val="21"/>
                          </w:rPr>
                          <w:br/>
                          <w:t xml:space="preserve">Contractors will soon receive a pre-vote notice from </w:t>
                        </w:r>
                        <w:proofErr w:type="spellStart"/>
                        <w:r>
                          <w:rPr>
                            <w:rFonts w:ascii="Tahoma" w:hAnsi="Tahoma" w:cs="Tahoma"/>
                            <w:color w:val="303030"/>
                            <w:sz w:val="21"/>
                            <w:szCs w:val="21"/>
                          </w:rPr>
                          <w:t>Civica</w:t>
                        </w:r>
                        <w:proofErr w:type="spellEnd"/>
                        <w:r>
                          <w:rPr>
                            <w:rFonts w:ascii="Tahoma" w:hAnsi="Tahoma" w:cs="Tahoma"/>
                            <w:color w:val="303030"/>
                            <w:sz w:val="21"/>
                            <w:szCs w:val="21"/>
                          </w:rPr>
                          <w:t xml:space="preserve"> Election Services (formerly the Electoral Reform Society) who are managing and overseeing the vote, also acting as Independent Scrutineer, to ensure the impartiality and integrity of the process. The pre-vote notice contains important information about the vote and will be sent to contractors’ NHS.net email addresses and where possible also by post. Contractors will also receive a voting notice nearer to the vote. Only individual contractors will be eligible to </w:t>
                        </w:r>
                        <w:proofErr w:type="gramStart"/>
                        <w:r>
                          <w:rPr>
                            <w:rFonts w:ascii="Tahoma" w:hAnsi="Tahoma" w:cs="Tahoma"/>
                            <w:color w:val="303030"/>
                            <w:sz w:val="21"/>
                            <w:szCs w:val="21"/>
                          </w:rPr>
                          <w:t>vote</w:t>
                        </w:r>
                        <w:proofErr w:type="gramEnd"/>
                        <w:r>
                          <w:rPr>
                            <w:rFonts w:ascii="Tahoma" w:hAnsi="Tahoma" w:cs="Tahoma"/>
                            <w:color w:val="303030"/>
                            <w:sz w:val="21"/>
                            <w:szCs w:val="21"/>
                          </w:rPr>
                          <w:t xml:space="preserve"> and the vote results are due to published in </w:t>
                        </w:r>
                        <w:r>
                          <w:rPr>
                            <w:rStyle w:val="Strong"/>
                            <w:rFonts w:ascii="Tahoma" w:hAnsi="Tahoma" w:cs="Tahoma"/>
                            <w:color w:val="303030"/>
                            <w:sz w:val="21"/>
                            <w:szCs w:val="21"/>
                          </w:rPr>
                          <w:t>June 2022</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Upcoming contractor briefing events</w:t>
                        </w:r>
                        <w:r>
                          <w:rPr>
                            <w:rFonts w:ascii="Tahoma" w:hAnsi="Tahoma" w:cs="Tahoma"/>
                            <w:color w:val="303030"/>
                            <w:sz w:val="21"/>
                            <w:szCs w:val="21"/>
                          </w:rPr>
                          <w:br/>
                        </w:r>
                        <w:r>
                          <w:rPr>
                            <w:rFonts w:ascii="Tahoma" w:hAnsi="Tahoma" w:cs="Tahoma"/>
                            <w:color w:val="303030"/>
                            <w:sz w:val="21"/>
                            <w:szCs w:val="21"/>
                          </w:rPr>
                          <w:br/>
                          <w:t>To help contractors to understand the proposals, the RSG plans to hold several contractor briefing events during the pre-vote period in May, including three national contractor briefing events and seven regional briefing events: one per NHS region. These events will be an opportunity for contractors to hear directly from RSG members about the proposals, and to ask them questions.</w:t>
                        </w:r>
                        <w:r>
                          <w:rPr>
                            <w:rFonts w:ascii="Tahoma" w:hAnsi="Tahoma" w:cs="Tahoma"/>
                            <w:color w:val="303030"/>
                            <w:sz w:val="21"/>
                            <w:szCs w:val="21"/>
                          </w:rPr>
                          <w:br/>
                        </w:r>
                        <w:r>
                          <w:rPr>
                            <w:rFonts w:ascii="Tahoma" w:hAnsi="Tahoma" w:cs="Tahoma"/>
                            <w:color w:val="303030"/>
                            <w:sz w:val="21"/>
                            <w:szCs w:val="21"/>
                          </w:rPr>
                          <w:br/>
                          <w:t xml:space="preserve">Information about these events is available below and on the RSG website </w:t>
                        </w:r>
                        <w:hyperlink r:id="rId7" w:tgtFrame="_blank" w:history="1">
                          <w:r>
                            <w:rPr>
                              <w:rStyle w:val="Hyperlink"/>
                              <w:b/>
                              <w:bCs/>
                              <w:color w:val="3D857F"/>
                              <w:sz w:val="21"/>
                              <w:szCs w:val="21"/>
                            </w:rPr>
                            <w:t>here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National briefing events</w:t>
                        </w:r>
                        <w:r>
                          <w:rPr>
                            <w:rFonts w:ascii="Tahoma" w:hAnsi="Tahoma" w:cs="Tahoma"/>
                            <w:color w:val="303030"/>
                            <w:sz w:val="21"/>
                            <w:szCs w:val="21"/>
                          </w:rPr>
                          <w:br/>
                        </w:r>
                        <w:hyperlink r:id="rId8" w:tgtFrame="_blank" w:history="1">
                          <w:r>
                            <w:rPr>
                              <w:rStyle w:val="Hyperlink"/>
                              <w:b/>
                              <w:bCs/>
                              <w:color w:val="3D857F"/>
                              <w:sz w:val="21"/>
                              <w:szCs w:val="21"/>
                            </w:rPr>
                            <w:t>National Contractor Briefing Event: Tuesday 3rd May, 7-8pm</w:t>
                          </w:r>
                        </w:hyperlink>
                        <w:r>
                          <w:rPr>
                            <w:rFonts w:ascii="Tahoma" w:hAnsi="Tahoma" w:cs="Tahoma"/>
                            <w:color w:val="303030"/>
                            <w:sz w:val="21"/>
                            <w:szCs w:val="21"/>
                          </w:rPr>
                          <w:br/>
                        </w:r>
                        <w:hyperlink r:id="rId9" w:tgtFrame="_blank" w:history="1">
                          <w:r>
                            <w:rPr>
                              <w:rStyle w:val="Hyperlink"/>
                              <w:b/>
                              <w:bCs/>
                              <w:color w:val="3D857F"/>
                              <w:sz w:val="21"/>
                              <w:szCs w:val="21"/>
                            </w:rPr>
                            <w:t>National Contractor Briefing Event: Wednesday</w:t>
                          </w:r>
                          <w:r>
                            <w:rPr>
                              <w:rStyle w:val="Hyperlink"/>
                              <w:b/>
                              <w:bCs/>
                              <w:color w:val="3D857F"/>
                              <w:sz w:val="21"/>
                              <w:szCs w:val="21"/>
                            </w:rPr>
                            <w:t xml:space="preserve"> </w:t>
                          </w:r>
                          <w:r>
                            <w:rPr>
                              <w:rStyle w:val="Hyperlink"/>
                              <w:b/>
                              <w:bCs/>
                              <w:color w:val="3D857F"/>
                              <w:sz w:val="21"/>
                              <w:szCs w:val="21"/>
                            </w:rPr>
                            <w:t>4th M</w:t>
                          </w:r>
                          <w:r>
                            <w:rPr>
                              <w:rStyle w:val="Hyperlink"/>
                              <w:b/>
                              <w:bCs/>
                              <w:color w:val="3D857F"/>
                              <w:sz w:val="21"/>
                              <w:szCs w:val="21"/>
                            </w:rPr>
                            <w:t>a</w:t>
                          </w:r>
                          <w:r>
                            <w:rPr>
                              <w:rStyle w:val="Hyperlink"/>
                              <w:b/>
                              <w:bCs/>
                              <w:color w:val="3D857F"/>
                              <w:sz w:val="21"/>
                              <w:szCs w:val="21"/>
                            </w:rPr>
                            <w:t>y, 12-1pm</w:t>
                          </w:r>
                        </w:hyperlink>
                        <w:r>
                          <w:rPr>
                            <w:rFonts w:ascii="Tahoma" w:hAnsi="Tahoma" w:cs="Tahoma"/>
                            <w:color w:val="303030"/>
                            <w:sz w:val="21"/>
                            <w:szCs w:val="21"/>
                          </w:rPr>
                          <w:br/>
                          <w:t>Timing of third event, later in May,</w:t>
                        </w:r>
                        <w:r>
                          <w:rPr>
                            <w:rStyle w:val="Strong"/>
                            <w:rFonts w:ascii="Tahoma" w:hAnsi="Tahoma" w:cs="Tahoma"/>
                            <w:color w:val="303030"/>
                            <w:sz w:val="21"/>
                            <w:szCs w:val="21"/>
                          </w:rPr>
                          <w:t xml:space="preserve"> tbc</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Regional briefing events</w:t>
                        </w:r>
                        <w:r>
                          <w:rPr>
                            <w:rFonts w:ascii="Tahoma" w:hAnsi="Tahoma" w:cs="Tahoma"/>
                            <w:color w:val="303030"/>
                            <w:sz w:val="21"/>
                            <w:szCs w:val="21"/>
                          </w:rPr>
                          <w:br/>
                        </w:r>
                        <w:hyperlink r:id="rId10" w:tgtFrame="_blank" w:history="1">
                          <w:r>
                            <w:rPr>
                              <w:rStyle w:val="Hyperlink"/>
                              <w:b/>
                              <w:bCs/>
                              <w:color w:val="3D857F"/>
                              <w:sz w:val="21"/>
                              <w:szCs w:val="21"/>
                            </w:rPr>
                            <w:t>South East Regional Contractor Briefing Event: Wednesday 4th May, 7-8pm</w:t>
                          </w:r>
                        </w:hyperlink>
                        <w:r>
                          <w:rPr>
                            <w:rFonts w:ascii="Tahoma" w:hAnsi="Tahoma" w:cs="Tahoma"/>
                            <w:color w:val="303030"/>
                            <w:sz w:val="21"/>
                            <w:szCs w:val="21"/>
                          </w:rPr>
                          <w:br/>
                        </w:r>
                        <w:hyperlink r:id="rId11" w:tgtFrame="_blank" w:history="1">
                          <w:r>
                            <w:rPr>
                              <w:rStyle w:val="Hyperlink"/>
                              <w:b/>
                              <w:bCs/>
                              <w:color w:val="3D857F"/>
                              <w:sz w:val="21"/>
                              <w:szCs w:val="21"/>
                            </w:rPr>
                            <w:t>London Contractor Briefing Event: Thursday 5th May, 7-8pm</w:t>
                          </w:r>
                        </w:hyperlink>
                        <w:r>
                          <w:rPr>
                            <w:rFonts w:ascii="Tahoma" w:hAnsi="Tahoma" w:cs="Tahoma"/>
                            <w:color w:val="303030"/>
                            <w:sz w:val="21"/>
                            <w:szCs w:val="21"/>
                          </w:rPr>
                          <w:br/>
                        </w:r>
                        <w:hyperlink r:id="rId12" w:tgtFrame="_blank" w:history="1">
                          <w:r>
                            <w:rPr>
                              <w:rStyle w:val="Hyperlink"/>
                              <w:b/>
                              <w:bCs/>
                              <w:color w:val="3D857F"/>
                              <w:sz w:val="21"/>
                              <w:szCs w:val="21"/>
                            </w:rPr>
                            <w:t>Midland Contractor Briefing Event: Monday 9th May, 7-8pm</w:t>
                          </w:r>
                        </w:hyperlink>
                        <w:r>
                          <w:rPr>
                            <w:rFonts w:ascii="Tahoma" w:hAnsi="Tahoma" w:cs="Tahoma"/>
                            <w:color w:val="303030"/>
                            <w:sz w:val="21"/>
                            <w:szCs w:val="21"/>
                          </w:rPr>
                          <w:br/>
                        </w:r>
                        <w:hyperlink r:id="rId13" w:tgtFrame="_blank" w:history="1">
                          <w:r>
                            <w:rPr>
                              <w:rStyle w:val="Hyperlink"/>
                              <w:b/>
                              <w:bCs/>
                              <w:color w:val="3D857F"/>
                              <w:sz w:val="21"/>
                              <w:szCs w:val="21"/>
                            </w:rPr>
                            <w:t>South West Regional Contractor Briefing Event: Monday 9th May, 8-9pm</w:t>
                          </w:r>
                        </w:hyperlink>
                        <w:r>
                          <w:rPr>
                            <w:rFonts w:ascii="Tahoma" w:hAnsi="Tahoma" w:cs="Tahoma"/>
                            <w:color w:val="303030"/>
                            <w:sz w:val="21"/>
                            <w:szCs w:val="21"/>
                          </w:rPr>
                          <w:br/>
                        </w:r>
                        <w:hyperlink r:id="rId14" w:tgtFrame="_blank" w:history="1">
                          <w:r>
                            <w:rPr>
                              <w:rStyle w:val="Hyperlink"/>
                              <w:b/>
                              <w:bCs/>
                              <w:color w:val="3D857F"/>
                              <w:sz w:val="21"/>
                              <w:szCs w:val="21"/>
                            </w:rPr>
                            <w:t>North East and Yorkshire Contractor Briefing Event: Tuesday 10th May, 7-8pm</w:t>
                          </w:r>
                        </w:hyperlink>
                        <w:r>
                          <w:rPr>
                            <w:rFonts w:ascii="Tahoma" w:hAnsi="Tahoma" w:cs="Tahoma"/>
                            <w:color w:val="303030"/>
                            <w:sz w:val="21"/>
                            <w:szCs w:val="21"/>
                          </w:rPr>
                          <w:br/>
                        </w:r>
                        <w:hyperlink r:id="rId15" w:tgtFrame="_blank" w:history="1">
                          <w:r>
                            <w:rPr>
                              <w:rStyle w:val="Hyperlink"/>
                              <w:b/>
                              <w:bCs/>
                              <w:color w:val="3D857F"/>
                              <w:sz w:val="21"/>
                              <w:szCs w:val="21"/>
                            </w:rPr>
                            <w:t>North West Contractor Briefing Event: Monday 16th May, 7-8pm</w:t>
                          </w:r>
                        </w:hyperlink>
                        <w:r>
                          <w:rPr>
                            <w:rFonts w:ascii="Tahoma" w:hAnsi="Tahoma" w:cs="Tahoma"/>
                            <w:color w:val="303030"/>
                            <w:sz w:val="21"/>
                            <w:szCs w:val="21"/>
                          </w:rPr>
                          <w:br/>
                        </w:r>
                        <w:hyperlink r:id="rId16" w:tgtFrame="_blank" w:history="1">
                          <w:r>
                            <w:rPr>
                              <w:rStyle w:val="Hyperlink"/>
                              <w:b/>
                              <w:bCs/>
                              <w:color w:val="3D857F"/>
                              <w:sz w:val="21"/>
                              <w:szCs w:val="21"/>
                            </w:rPr>
                            <w:t>East of England Contractor Briefing Event: Monday 16th May, 8-9pm</w:t>
                          </w:r>
                        </w:hyperlink>
                        <w:r>
                          <w:rPr>
                            <w:rFonts w:ascii="Tahoma" w:hAnsi="Tahoma" w:cs="Tahoma"/>
                            <w:color w:val="303030"/>
                            <w:sz w:val="21"/>
                            <w:szCs w:val="21"/>
                          </w:rPr>
                          <w:br/>
                        </w:r>
                        <w:r>
                          <w:rPr>
                            <w:rFonts w:ascii="Tahoma" w:hAnsi="Tahoma" w:cs="Tahoma"/>
                            <w:color w:val="303030"/>
                            <w:sz w:val="21"/>
                            <w:szCs w:val="21"/>
                          </w:rPr>
                          <w:br/>
                          <w:t>Please note that while contractors are encouraged to attend their own regional event, all contractors are welcome to sign up to any of these events. There is no need to attend both your regional event and a national event, as the presentations will be the same at all events. National events are also open to trade associations and other wider sector participants, including pharmacy teams.</w:t>
                        </w:r>
                        <w:r>
                          <w:rPr>
                            <w:rFonts w:ascii="Tahoma" w:hAnsi="Tahoma" w:cs="Tahoma"/>
                            <w:color w:val="303030"/>
                            <w:sz w:val="21"/>
                            <w:szCs w:val="21"/>
                          </w:rPr>
                          <w:br/>
                        </w:r>
                        <w:r>
                          <w:rPr>
                            <w:rFonts w:ascii="Tahoma" w:hAnsi="Tahoma" w:cs="Tahoma"/>
                            <w:color w:val="303030"/>
                            <w:sz w:val="21"/>
                            <w:szCs w:val="21"/>
                          </w:rPr>
                          <w:br/>
                          <w:t>Find out more about the RSG and its work at: </w:t>
                        </w:r>
                        <w:hyperlink r:id="rId17" w:history="1">
                          <w:r>
                            <w:rPr>
                              <w:rStyle w:val="Hyperlink"/>
                              <w:b/>
                              <w:bCs/>
                              <w:color w:val="3D857F"/>
                              <w:sz w:val="21"/>
                              <w:szCs w:val="21"/>
                            </w:rPr>
                            <w:t>https://pharmacy-review.org/</w:t>
                          </w:r>
                        </w:hyperlink>
                      </w:p>
                    </w:tc>
                    <w:tc>
                      <w:tcPr>
                        <w:tcW w:w="150" w:type="dxa"/>
                        <w:vAlign w:val="center"/>
                        <w:hideMark/>
                      </w:tcPr>
                      <w:p w14:paraId="0D0D87C8" w14:textId="77777777" w:rsidR="0061561B" w:rsidRDefault="0061561B">
                        <w:pPr>
                          <w:rPr>
                            <w:rFonts w:ascii="Tahoma" w:hAnsi="Tahoma" w:cs="Tahoma"/>
                            <w:color w:val="303030"/>
                            <w:sz w:val="21"/>
                            <w:szCs w:val="21"/>
                          </w:rPr>
                        </w:pPr>
                      </w:p>
                    </w:tc>
                  </w:tr>
                  <w:tr w:rsidR="0061561B" w14:paraId="23891983" w14:textId="77777777">
                    <w:trPr>
                      <w:trHeight w:val="150"/>
                      <w:tblCellSpacing w:w="15" w:type="dxa"/>
                      <w:jc w:val="center"/>
                    </w:trPr>
                    <w:tc>
                      <w:tcPr>
                        <w:tcW w:w="150" w:type="dxa"/>
                        <w:vAlign w:val="center"/>
                        <w:hideMark/>
                      </w:tcPr>
                      <w:p w14:paraId="435BF0EC" w14:textId="77777777" w:rsidR="0061561B" w:rsidRDefault="0061561B">
                        <w:pPr>
                          <w:rPr>
                            <w:rFonts w:ascii="Times New Roman" w:eastAsia="Times New Roman" w:hAnsi="Times New Roman" w:cs="Times New Roman"/>
                            <w:sz w:val="20"/>
                            <w:szCs w:val="20"/>
                          </w:rPr>
                        </w:pPr>
                      </w:p>
                    </w:tc>
                    <w:tc>
                      <w:tcPr>
                        <w:tcW w:w="8700" w:type="dxa"/>
                        <w:vAlign w:val="center"/>
                        <w:hideMark/>
                      </w:tcPr>
                      <w:p w14:paraId="393662A1" w14:textId="77777777" w:rsidR="0061561B" w:rsidRDefault="0061561B">
                        <w:pPr>
                          <w:rPr>
                            <w:rFonts w:ascii="Times New Roman" w:eastAsia="Times New Roman" w:hAnsi="Times New Roman" w:cs="Times New Roman"/>
                            <w:sz w:val="20"/>
                            <w:szCs w:val="20"/>
                          </w:rPr>
                        </w:pPr>
                      </w:p>
                    </w:tc>
                    <w:tc>
                      <w:tcPr>
                        <w:tcW w:w="150" w:type="dxa"/>
                        <w:vAlign w:val="center"/>
                        <w:hideMark/>
                      </w:tcPr>
                      <w:p w14:paraId="76728C9B" w14:textId="77777777" w:rsidR="0061561B" w:rsidRDefault="0061561B">
                        <w:pPr>
                          <w:rPr>
                            <w:rFonts w:ascii="Times New Roman" w:eastAsia="Times New Roman" w:hAnsi="Times New Roman" w:cs="Times New Roman"/>
                            <w:sz w:val="20"/>
                            <w:szCs w:val="20"/>
                          </w:rPr>
                        </w:pPr>
                      </w:p>
                    </w:tc>
                  </w:tr>
                </w:tbl>
                <w:p w14:paraId="5DA46C29" w14:textId="77777777" w:rsidR="0061561B" w:rsidRDefault="0061561B">
                  <w:pPr>
                    <w:jc w:val="center"/>
                    <w:rPr>
                      <w:rFonts w:ascii="Times New Roman" w:eastAsia="Times New Roman" w:hAnsi="Times New Roman" w:cs="Times New Roman"/>
                      <w:sz w:val="20"/>
                      <w:szCs w:val="20"/>
                    </w:rPr>
                  </w:pPr>
                </w:p>
              </w:tc>
            </w:tr>
            <w:tr w:rsidR="0061561B" w14:paraId="09BA4158" w14:textId="77777777" w:rsidTr="0061561B">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61561B" w14:paraId="56E59449"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1561B" w14:paraId="3C5F09A6" w14:textId="77777777">
                          <w:trPr>
                            <w:tblCellSpacing w:w="0" w:type="dxa"/>
                            <w:jc w:val="center"/>
                          </w:trPr>
                          <w:tc>
                            <w:tcPr>
                              <w:tcW w:w="3000" w:type="dxa"/>
                              <w:tcMar>
                                <w:top w:w="30" w:type="dxa"/>
                                <w:left w:w="75" w:type="dxa"/>
                                <w:bottom w:w="30" w:type="dxa"/>
                                <w:right w:w="75" w:type="dxa"/>
                              </w:tcMar>
                              <w:hideMark/>
                            </w:tcPr>
                            <w:p w14:paraId="459CF629" w14:textId="77777777" w:rsidR="0061561B" w:rsidRDefault="0061561B">
                              <w:pPr>
                                <w:pStyle w:val="Heading4"/>
                                <w:jc w:val="center"/>
                                <w:rPr>
                                  <w:rFonts w:eastAsia="Times New Roman"/>
                                </w:rPr>
                              </w:pPr>
                              <w:r>
                                <w:rPr>
                                  <w:rFonts w:eastAsia="Times New Roman"/>
                                </w:rPr>
                                <w:lastRenderedPageBreak/>
                                <w:t>Pharmacy Representation Review Steering Group (RSG)</w:t>
                              </w:r>
                            </w:p>
                            <w:p w14:paraId="0429383C" w14:textId="713E943A" w:rsidR="0061561B" w:rsidRPr="0061561B" w:rsidRDefault="0061561B" w:rsidP="0061561B">
                              <w:pPr>
                                <w:pStyle w:val="NormalWeb"/>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p>
                          </w:tc>
                        </w:tr>
                      </w:tbl>
                      <w:p w14:paraId="2501F375" w14:textId="77777777" w:rsidR="0061561B" w:rsidRDefault="0061561B">
                        <w:pPr>
                          <w:jc w:val="center"/>
                          <w:rPr>
                            <w:rFonts w:ascii="Times New Roman" w:eastAsia="Times New Roman" w:hAnsi="Times New Roman" w:cs="Times New Roman"/>
                            <w:sz w:val="20"/>
                            <w:szCs w:val="20"/>
                          </w:rPr>
                        </w:pPr>
                      </w:p>
                    </w:tc>
                  </w:tr>
                </w:tbl>
                <w:p w14:paraId="4076AAFB" w14:textId="77777777" w:rsidR="0061561B" w:rsidRDefault="0061561B">
                  <w:pPr>
                    <w:jc w:val="center"/>
                    <w:rPr>
                      <w:rFonts w:ascii="Times New Roman" w:eastAsia="Times New Roman" w:hAnsi="Times New Roman" w:cs="Times New Roman"/>
                      <w:sz w:val="20"/>
                      <w:szCs w:val="20"/>
                    </w:rPr>
                  </w:pPr>
                </w:p>
              </w:tc>
              <w:tc>
                <w:tcPr>
                  <w:tcW w:w="0" w:type="auto"/>
                  <w:vAlign w:val="center"/>
                  <w:hideMark/>
                </w:tcPr>
                <w:p w14:paraId="238A3FB1" w14:textId="77777777" w:rsidR="0061561B" w:rsidRDefault="0061561B">
                  <w:pPr>
                    <w:rPr>
                      <w:rFonts w:ascii="Times New Roman" w:eastAsia="Times New Roman" w:hAnsi="Times New Roman" w:cs="Times New Roman"/>
                      <w:sz w:val="20"/>
                      <w:szCs w:val="20"/>
                    </w:rPr>
                  </w:pPr>
                </w:p>
              </w:tc>
            </w:tr>
          </w:tbl>
          <w:p w14:paraId="496990DB" w14:textId="77777777" w:rsidR="0061561B" w:rsidRDefault="0061561B">
            <w:pPr>
              <w:jc w:val="center"/>
              <w:rPr>
                <w:rFonts w:ascii="Times New Roman" w:eastAsia="Times New Roman" w:hAnsi="Times New Roman" w:cs="Times New Roman"/>
                <w:sz w:val="20"/>
                <w:szCs w:val="20"/>
              </w:rPr>
            </w:pPr>
          </w:p>
        </w:tc>
      </w:tr>
    </w:tbl>
    <w:p w14:paraId="42C92670" w14:textId="1FA3D2EB" w:rsidR="0061561B" w:rsidRDefault="0061561B" w:rsidP="0061561B">
      <w:pPr>
        <w:rPr>
          <w:rFonts w:eastAsia="Times New Roman"/>
        </w:rPr>
      </w:pPr>
      <w:r>
        <w:rPr>
          <w:rFonts w:eastAsia="Times New Roman"/>
          <w:noProof/>
        </w:rPr>
        <w:lastRenderedPageBreak/>
        <w:drawing>
          <wp:inline distT="0" distB="0" distL="0" distR="0" wp14:anchorId="49A6A52A" wp14:editId="6D77953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C5FBBF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1B"/>
    <w:rsid w:val="0061561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D4EB"/>
  <w15:chartTrackingRefBased/>
  <w15:docId w15:val="{E1F519E3-3451-4741-BD0B-0243F99E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1B"/>
    <w:rPr>
      <w:rFonts w:ascii="Calibri" w:hAnsi="Calibri" w:cs="Calibri"/>
      <w:lang w:eastAsia="en-GB"/>
    </w:rPr>
  </w:style>
  <w:style w:type="paragraph" w:styleId="Heading1">
    <w:name w:val="heading 1"/>
    <w:basedOn w:val="Normal"/>
    <w:link w:val="Heading1Char"/>
    <w:uiPriority w:val="9"/>
    <w:qFormat/>
    <w:rsid w:val="0061561B"/>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61561B"/>
    <w:pPr>
      <w:spacing w:after="75" w:line="264" w:lineRule="auto"/>
      <w:outlineLvl w:val="1"/>
    </w:pPr>
    <w:rPr>
      <w:rFonts w:ascii="Tahoma" w:hAnsi="Tahoma" w:cs="Tahoma"/>
      <w:b/>
      <w:bCs/>
      <w:color w:val="037800"/>
      <w:sz w:val="30"/>
      <w:szCs w:val="30"/>
    </w:rPr>
  </w:style>
  <w:style w:type="paragraph" w:styleId="Heading4">
    <w:name w:val="heading 4"/>
    <w:basedOn w:val="Normal"/>
    <w:link w:val="Heading4Char"/>
    <w:uiPriority w:val="9"/>
    <w:semiHidden/>
    <w:unhideWhenUsed/>
    <w:qFormat/>
    <w:rsid w:val="0061561B"/>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1B"/>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61561B"/>
    <w:rPr>
      <w:rFonts w:ascii="Tahoma" w:hAnsi="Tahoma" w:cs="Tahoma"/>
      <w:b/>
      <w:bCs/>
      <w:color w:val="037800"/>
      <w:sz w:val="30"/>
      <w:szCs w:val="30"/>
      <w:lang w:eastAsia="en-GB"/>
    </w:rPr>
  </w:style>
  <w:style w:type="character" w:customStyle="1" w:styleId="Heading4Char">
    <w:name w:val="Heading 4 Char"/>
    <w:basedOn w:val="DefaultParagraphFont"/>
    <w:link w:val="Heading4"/>
    <w:uiPriority w:val="9"/>
    <w:semiHidden/>
    <w:rsid w:val="0061561B"/>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61561B"/>
    <w:rPr>
      <w:color w:val="0000FF"/>
      <w:u w:val="single"/>
    </w:rPr>
  </w:style>
  <w:style w:type="paragraph" w:styleId="NormalWeb">
    <w:name w:val="Normal (Web)"/>
    <w:basedOn w:val="Normal"/>
    <w:uiPriority w:val="99"/>
    <w:unhideWhenUsed/>
    <w:rsid w:val="0061561B"/>
    <w:pPr>
      <w:spacing w:before="100" w:beforeAutospacing="1" w:after="100" w:afterAutospacing="1"/>
    </w:pPr>
  </w:style>
  <w:style w:type="character" w:styleId="Strong">
    <w:name w:val="Strong"/>
    <w:basedOn w:val="DefaultParagraphFont"/>
    <w:uiPriority w:val="22"/>
    <w:qFormat/>
    <w:rsid w:val="0061561B"/>
    <w:rPr>
      <w:b/>
      <w:bCs/>
    </w:rPr>
  </w:style>
  <w:style w:type="character" w:styleId="FollowedHyperlink">
    <w:name w:val="FollowedHyperlink"/>
    <w:basedOn w:val="DefaultParagraphFont"/>
    <w:uiPriority w:val="99"/>
    <w:semiHidden/>
    <w:unhideWhenUsed/>
    <w:rsid w:val="006156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5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87a34c6c9&amp;e=d19e9fd41c" TargetMode="External"/><Relationship Id="rId13" Type="http://schemas.openxmlformats.org/officeDocument/2006/relationships/hyperlink" Target="https://psnc.us7.list-manage.com/track/click?u=86d41ab7fa4c7c2c5d7210782&amp;id=e84d6513fd&amp;e=d19e9fd41c" TargetMode="External"/><Relationship Id="rId18" Type="http://schemas.openxmlformats.org/officeDocument/2006/relationships/image" Target="media/image2.gi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snc.us7.list-manage.com/track/click?u=86d41ab7fa4c7c2c5d7210782&amp;id=ad3269c871&amp;e=d19e9fd41c" TargetMode="External"/><Relationship Id="rId12" Type="http://schemas.openxmlformats.org/officeDocument/2006/relationships/hyperlink" Target="https://psnc.us7.list-manage.com/track/click?u=86d41ab7fa4c7c2c5d7210782&amp;id=73de9e54cd&amp;e=d19e9fd41c" TargetMode="External"/><Relationship Id="rId17" Type="http://schemas.openxmlformats.org/officeDocument/2006/relationships/hyperlink" Target="https://psnc.us7.list-manage.com/track/click?u=86d41ab7fa4c7c2c5d7210782&amp;id=85a933d348&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199ef4ee52&amp;e=d19e9fd41c"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s://mcusercontent.com/86d41ab7fa4c7c2c5d7210782/images/3addd327-85ca-e5d9-b0bb-5f28025fe6a0.jpg" TargetMode="External"/><Relationship Id="rId11" Type="http://schemas.openxmlformats.org/officeDocument/2006/relationships/hyperlink" Target="https://psnc.us7.list-manage.com/track/click?u=86d41ab7fa4c7c2c5d7210782&amp;id=509dc9d4d7&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994e1c25da&amp;e=d19e9fd41c" TargetMode="External"/><Relationship Id="rId10" Type="http://schemas.openxmlformats.org/officeDocument/2006/relationships/hyperlink" Target="https://psnc.us7.list-manage.com/track/click?u=86d41ab7fa4c7c2c5d7210782&amp;id=4435615daa&amp;e=d19e9fd41c" TargetMode="External"/><Relationship Id="rId19" Type="http://schemas.openxmlformats.org/officeDocument/2006/relationships/image" Target="https://psnc.us7.list-manage.com/track/open.php?u=86d41ab7fa4c7c2c5d7210782&amp;id=0870614808&amp;e=d19e9fd41c" TargetMode="External"/><Relationship Id="rId4" Type="http://schemas.openxmlformats.org/officeDocument/2006/relationships/hyperlink" Target="https://psnc.us7.list-manage.com/track/click?u=86d41ab7fa4c7c2c5d7210782&amp;id=b2bada446b&amp;e=d19e9fd41c" TargetMode="External"/><Relationship Id="rId9" Type="http://schemas.openxmlformats.org/officeDocument/2006/relationships/hyperlink" Target="https://psnc.us7.list-manage.com/track/click?u=86d41ab7fa4c7c2c5d7210782&amp;id=d91a719902&amp;e=d19e9fd41c" TargetMode="External"/><Relationship Id="rId14" Type="http://schemas.openxmlformats.org/officeDocument/2006/relationships/hyperlink" Target="https://psnc.us7.list-manage.com/track/click?u=86d41ab7fa4c7c2c5d7210782&amp;id=ef9a119cc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2022-04-19T09:47:00Z</dcterms:created>
  <dcterms:modified xsi:type="dcterms:W3CDTF">2022-04-19T09:50:00Z</dcterms:modified>
</cp:coreProperties>
</file>