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55FA9" w14:paraId="2CB72DB3" w14:textId="77777777" w:rsidTr="00155FA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55FA9" w14:paraId="53B8614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55FA9" w14:paraId="2FC83EC3" w14:textId="77777777">
                    <w:trPr>
                      <w:tblCellSpacing w:w="0" w:type="dxa"/>
                      <w:jc w:val="center"/>
                    </w:trPr>
                    <w:tc>
                      <w:tcPr>
                        <w:tcW w:w="3000" w:type="dxa"/>
                        <w:hideMark/>
                      </w:tcPr>
                      <w:p w14:paraId="7F02F6F0" w14:textId="210E9232" w:rsidR="00155FA9" w:rsidRDefault="00155FA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01C9622" w14:textId="77777777" w:rsidR="00155FA9" w:rsidRDefault="00155FA9">
                  <w:pPr>
                    <w:jc w:val="center"/>
                    <w:rPr>
                      <w:rFonts w:ascii="Times New Roman" w:eastAsia="Times New Roman" w:hAnsi="Times New Roman" w:cs="Times New Roman"/>
                      <w:sz w:val="20"/>
                      <w:szCs w:val="20"/>
                    </w:rPr>
                  </w:pPr>
                </w:p>
              </w:tc>
            </w:tr>
            <w:tr w:rsidR="00155FA9" w14:paraId="1A49A74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55FA9" w14:paraId="447E5C3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D4B801B" w14:textId="76356C5D" w:rsidR="00155FA9" w:rsidRDefault="00155FA9">
                        <w:pPr>
                          <w:jc w:val="center"/>
                          <w:rPr>
                            <w:rFonts w:eastAsia="Times New Roman"/>
                          </w:rPr>
                        </w:pPr>
                        <w:r>
                          <w:rPr>
                            <w:rFonts w:eastAsia="Times New Roman"/>
                            <w:noProof/>
                          </w:rPr>
                          <w:drawing>
                            <wp:inline distT="0" distB="0" distL="0" distR="0" wp14:anchorId="7FEA3923" wp14:editId="414103A3">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55FA9" w14:paraId="5C516E4B" w14:textId="77777777">
                    <w:trPr>
                      <w:tblCellSpacing w:w="0" w:type="dxa"/>
                    </w:trPr>
                    <w:tc>
                      <w:tcPr>
                        <w:tcW w:w="0" w:type="auto"/>
                        <w:vMerge/>
                        <w:tcBorders>
                          <w:top w:val="nil"/>
                          <w:left w:val="nil"/>
                          <w:bottom w:val="single" w:sz="2" w:space="0" w:color="FFFFFF"/>
                          <w:right w:val="nil"/>
                        </w:tcBorders>
                        <w:vAlign w:val="center"/>
                        <w:hideMark/>
                      </w:tcPr>
                      <w:p w14:paraId="3EA43346" w14:textId="77777777" w:rsidR="00155FA9" w:rsidRDefault="00155FA9">
                        <w:pPr>
                          <w:rPr>
                            <w:rFonts w:eastAsia="Times New Roman"/>
                          </w:rPr>
                        </w:pPr>
                      </w:p>
                    </w:tc>
                    <w:tc>
                      <w:tcPr>
                        <w:tcW w:w="3450" w:type="dxa"/>
                        <w:tcBorders>
                          <w:top w:val="nil"/>
                          <w:left w:val="nil"/>
                          <w:bottom w:val="nil"/>
                          <w:right w:val="nil"/>
                        </w:tcBorders>
                        <w:vAlign w:val="center"/>
                        <w:hideMark/>
                      </w:tcPr>
                      <w:p w14:paraId="3C4FCBFD" w14:textId="77777777" w:rsidR="00155FA9" w:rsidRDefault="00155FA9">
                        <w:pPr>
                          <w:pStyle w:val="Heading1"/>
                          <w:rPr>
                            <w:rFonts w:eastAsia="Times New Roman"/>
                          </w:rPr>
                        </w:pPr>
                        <w:r>
                          <w:rPr>
                            <w:rFonts w:eastAsia="Times New Roman"/>
                          </w:rPr>
                          <w:t>PSNC Newsletter</w:t>
                        </w:r>
                      </w:p>
                    </w:tc>
                  </w:tr>
                  <w:tr w:rsidR="00155FA9" w14:paraId="11C94200" w14:textId="77777777">
                    <w:trPr>
                      <w:tblCellSpacing w:w="0" w:type="dxa"/>
                    </w:trPr>
                    <w:tc>
                      <w:tcPr>
                        <w:tcW w:w="0" w:type="auto"/>
                        <w:vMerge/>
                        <w:tcBorders>
                          <w:top w:val="nil"/>
                          <w:left w:val="nil"/>
                          <w:bottom w:val="single" w:sz="2" w:space="0" w:color="FFFFFF"/>
                          <w:right w:val="nil"/>
                        </w:tcBorders>
                        <w:vAlign w:val="center"/>
                        <w:hideMark/>
                      </w:tcPr>
                      <w:p w14:paraId="3B0114BA" w14:textId="77777777" w:rsidR="00155FA9" w:rsidRDefault="00155FA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3850979" w14:textId="77777777" w:rsidR="00155FA9" w:rsidRDefault="00155FA9">
                        <w:pPr>
                          <w:pStyle w:val="Heading2"/>
                          <w:rPr>
                            <w:rFonts w:eastAsia="Times New Roman"/>
                            <w:color w:val="93378A"/>
                          </w:rPr>
                        </w:pPr>
                        <w:r>
                          <w:rPr>
                            <w:rFonts w:eastAsia="Times New Roman"/>
                            <w:color w:val="93378A"/>
                          </w:rPr>
                          <w:t>Monday 4th April 2022</w:t>
                        </w:r>
                      </w:p>
                    </w:tc>
                  </w:tr>
                </w:tbl>
                <w:p w14:paraId="70F5A1B6" w14:textId="77777777" w:rsidR="00155FA9" w:rsidRDefault="00155FA9">
                  <w:pPr>
                    <w:rPr>
                      <w:rFonts w:ascii="Times New Roman" w:eastAsia="Times New Roman" w:hAnsi="Times New Roman" w:cs="Times New Roman"/>
                      <w:sz w:val="20"/>
                      <w:szCs w:val="20"/>
                    </w:rPr>
                  </w:pPr>
                </w:p>
              </w:tc>
            </w:tr>
            <w:tr w:rsidR="00155FA9" w14:paraId="28449F05" w14:textId="77777777">
              <w:tblPrEx>
                <w:shd w:val="clear" w:color="auto" w:fill="auto"/>
              </w:tblPrEx>
              <w:trPr>
                <w:tblCellSpacing w:w="0" w:type="dxa"/>
                <w:jc w:val="center"/>
              </w:trPr>
              <w:tc>
                <w:tcPr>
                  <w:tcW w:w="9000" w:type="dxa"/>
                  <w:hideMark/>
                </w:tcPr>
                <w:p w14:paraId="16A3E2E8" w14:textId="7AF310A0" w:rsidR="00155FA9" w:rsidRDefault="00155FA9">
                  <w:pPr>
                    <w:rPr>
                      <w:rFonts w:eastAsia="Times New Roman"/>
                    </w:rPr>
                  </w:pPr>
                  <w:r>
                    <w:rPr>
                      <w:rFonts w:eastAsia="Times New Roman"/>
                      <w:noProof/>
                    </w:rPr>
                    <w:drawing>
                      <wp:inline distT="0" distB="0" distL="0" distR="0" wp14:anchorId="579F02C0" wp14:editId="13A6A42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55FA9" w14:paraId="37DD4D4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155FA9" w14:paraId="756F0422" w14:textId="77777777">
                    <w:trPr>
                      <w:trHeight w:val="150"/>
                      <w:tblCellSpacing w:w="15" w:type="dxa"/>
                      <w:jc w:val="center"/>
                    </w:trPr>
                    <w:tc>
                      <w:tcPr>
                        <w:tcW w:w="150" w:type="dxa"/>
                        <w:vAlign w:val="center"/>
                        <w:hideMark/>
                      </w:tcPr>
                      <w:p w14:paraId="6B955A41" w14:textId="77777777" w:rsidR="00155FA9" w:rsidRDefault="00155FA9">
                        <w:pPr>
                          <w:rPr>
                            <w:rFonts w:eastAsia="Times New Roman"/>
                          </w:rPr>
                        </w:pPr>
                      </w:p>
                    </w:tc>
                    <w:tc>
                      <w:tcPr>
                        <w:tcW w:w="8700" w:type="dxa"/>
                        <w:vAlign w:val="center"/>
                        <w:hideMark/>
                      </w:tcPr>
                      <w:p w14:paraId="5BB46ED7" w14:textId="77777777" w:rsidR="00155FA9" w:rsidRDefault="00155FA9">
                        <w:pPr>
                          <w:rPr>
                            <w:rFonts w:ascii="Times New Roman" w:eastAsia="Times New Roman" w:hAnsi="Times New Roman" w:cs="Times New Roman"/>
                            <w:sz w:val="20"/>
                            <w:szCs w:val="20"/>
                          </w:rPr>
                        </w:pPr>
                      </w:p>
                    </w:tc>
                    <w:tc>
                      <w:tcPr>
                        <w:tcW w:w="150" w:type="dxa"/>
                        <w:vAlign w:val="center"/>
                        <w:hideMark/>
                      </w:tcPr>
                      <w:p w14:paraId="340D186E" w14:textId="77777777" w:rsidR="00155FA9" w:rsidRDefault="00155FA9">
                        <w:pPr>
                          <w:rPr>
                            <w:rFonts w:ascii="Times New Roman" w:eastAsia="Times New Roman" w:hAnsi="Times New Roman" w:cs="Times New Roman"/>
                            <w:sz w:val="20"/>
                            <w:szCs w:val="20"/>
                          </w:rPr>
                        </w:pPr>
                      </w:p>
                    </w:tc>
                  </w:tr>
                  <w:tr w:rsidR="00155FA9" w14:paraId="149EA559" w14:textId="77777777">
                    <w:trPr>
                      <w:tblCellSpacing w:w="15" w:type="dxa"/>
                      <w:jc w:val="center"/>
                    </w:trPr>
                    <w:tc>
                      <w:tcPr>
                        <w:tcW w:w="150" w:type="dxa"/>
                        <w:vAlign w:val="center"/>
                        <w:hideMark/>
                      </w:tcPr>
                      <w:p w14:paraId="3EFE73D4" w14:textId="77777777" w:rsidR="00155FA9" w:rsidRDefault="00155FA9">
                        <w:pPr>
                          <w:rPr>
                            <w:rFonts w:ascii="Times New Roman" w:eastAsia="Times New Roman" w:hAnsi="Times New Roman" w:cs="Times New Roman"/>
                            <w:sz w:val="20"/>
                            <w:szCs w:val="20"/>
                          </w:rPr>
                        </w:pPr>
                      </w:p>
                    </w:tc>
                    <w:tc>
                      <w:tcPr>
                        <w:tcW w:w="8700" w:type="dxa"/>
                        <w:vAlign w:val="center"/>
                        <w:hideMark/>
                      </w:tcPr>
                      <w:p w14:paraId="42AE6003" w14:textId="77777777" w:rsidR="00155FA9" w:rsidRDefault="00155FA9">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6A61E52" w14:textId="77777777" w:rsidR="00155FA9" w:rsidRDefault="00155FA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A397684">
                            <v:rect id="_x0000_i1032" style="width:468pt;height:1.5pt" o:hralign="center" o:hrstd="t" o:hr="t" fillcolor="#a0a0a0" stroked="f"/>
                          </w:pict>
                        </w:r>
                      </w:p>
                      <w:p w14:paraId="1DE5F15B" w14:textId="77777777" w:rsidR="00155FA9" w:rsidRDefault="00155FA9">
                        <w:pPr>
                          <w:pStyle w:val="Heading2"/>
                          <w:rPr>
                            <w:rFonts w:eastAsia="Times New Roman"/>
                          </w:rPr>
                        </w:pPr>
                        <w:r>
                          <w:rPr>
                            <w:rFonts w:eastAsia="Times New Roman"/>
                          </w:rPr>
                          <w:t>In this update: Another record year for pharmacy flu vaccinations; mandatory topics for patient satisfaction surveys; 5th April services deadlines; SAF reverts to £1.27; SSP updates; new EPS pharmacy system.</w:t>
                        </w:r>
                      </w:p>
                      <w:p w14:paraId="1968E110" w14:textId="77777777" w:rsidR="00155FA9" w:rsidRDefault="00155FA9">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984559B">
                            <v:rect id="_x0000_i1033" style="width:468pt;height:1.5pt" o:hralign="center" o:hrstd="t" o:hr="t" fillcolor="#a0a0a0" stroked="f"/>
                          </w:pict>
                        </w:r>
                      </w:p>
                      <w:p w14:paraId="678EF4B5" w14:textId="77777777" w:rsidR="00155FA9" w:rsidRDefault="00155FA9" w:rsidP="00155FA9">
                        <w:pPr>
                          <w:pStyle w:val="Heading3"/>
                          <w:spacing w:after="0"/>
                          <w:rPr>
                            <w:rFonts w:eastAsia="Times New Roman"/>
                          </w:rPr>
                        </w:pPr>
                        <w:r>
                          <w:rPr>
                            <w:rFonts w:eastAsia="Times New Roman"/>
                          </w:rPr>
                          <w:t>Almost 4.8 million flu vaccinations administered by community pharmacy during 2021/22</w:t>
                        </w:r>
                      </w:p>
                      <w:p w14:paraId="724EB20C" w14:textId="77777777" w:rsidR="00155FA9" w:rsidRDefault="00155FA9" w:rsidP="00155FA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teams have proved once again that they can deliver by administering almost 4.8 million flu vaccinations under the NHS Flu Vaccination Service in 2021/22 – 73% more than the 2.8 million vaccines administered last season.</w:t>
                        </w:r>
                        <w:r>
                          <w:rPr>
                            <w:rFonts w:ascii="Tahoma" w:hAnsi="Tahoma" w:cs="Tahoma"/>
                            <w:color w:val="303030"/>
                            <w:sz w:val="21"/>
                            <w:szCs w:val="21"/>
                          </w:rPr>
                          <w:br/>
                        </w:r>
                        <w:r>
                          <w:rPr>
                            <w:rFonts w:ascii="Tahoma" w:hAnsi="Tahoma" w:cs="Tahoma"/>
                            <w:color w:val="303030"/>
                            <w:sz w:val="21"/>
                            <w:szCs w:val="21"/>
                          </w:rPr>
                          <w:br/>
                          <w:t>Commenting on the end-of-season figures, Alastair Buxton, Director of NHS Services, PSNC said: "This would be an amazing achievement at the best of times, but even more so when pharmacies have been coping with the impact of the pandemic and wider financial and operational pressures."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more</w:t>
                          </w:r>
                        </w:hyperlink>
                      </w:p>
                      <w:p w14:paraId="50115E95" w14:textId="77777777" w:rsidR="00155FA9" w:rsidRDefault="00155FA9" w:rsidP="00155FA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4D5093A">
                            <v:rect id="_x0000_i1034" style="width:468pt;height:1.5pt" o:hrstd="t" o:hr="t" fillcolor="#a0a0a0" stroked="f"/>
                          </w:pict>
                        </w:r>
                      </w:p>
                      <w:p w14:paraId="45666D72" w14:textId="77777777" w:rsidR="00155FA9" w:rsidRDefault="00155FA9" w:rsidP="00155FA9">
                        <w:pPr>
                          <w:pStyle w:val="Heading3"/>
                          <w:spacing w:after="0"/>
                          <w:rPr>
                            <w:rFonts w:eastAsia="Times New Roman"/>
                          </w:rPr>
                        </w:pPr>
                        <w:r>
                          <w:rPr>
                            <w:rFonts w:eastAsia="Times New Roman"/>
                          </w:rPr>
                          <w:t>Patient satisfaction survey: mandatory topics for 2022/23</w:t>
                        </w:r>
                      </w:p>
                      <w:p w14:paraId="058176CC" w14:textId="77777777" w:rsidR="00155FA9" w:rsidRDefault="00155FA9" w:rsidP="00155FA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requirements for the community pharmacy patient satisfaction survey have been revised. PSNC sought these changes to address requests from contractors to have greater flexibility in the way they undertake surveys of patients' experience of pharmacy services.</w:t>
                        </w:r>
                        <w:r>
                          <w:rPr>
                            <w:rFonts w:ascii="Tahoma" w:hAnsi="Tahoma" w:cs="Tahoma"/>
                            <w:color w:val="303030"/>
                            <w:sz w:val="21"/>
                            <w:szCs w:val="21"/>
                          </w:rPr>
                          <w:br/>
                        </w:r>
                        <w:r>
                          <w:rPr>
                            <w:rFonts w:ascii="Tahoma" w:hAnsi="Tahoma" w:cs="Tahoma"/>
                            <w:color w:val="303030"/>
                            <w:sz w:val="21"/>
                            <w:szCs w:val="21"/>
                          </w:rPr>
                          <w:br/>
                          <w:t>The revised requirements include the need for a contractor's survey to cover three topics agreed nationally by NHS England and NHS Improvement and PSNC.</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Learn more about the three topics agreed for 2022/23</w:t>
                          </w:r>
                        </w:hyperlink>
                      </w:p>
                      <w:p w14:paraId="52B7356B" w14:textId="77777777" w:rsidR="00155FA9" w:rsidRDefault="00155FA9" w:rsidP="00155FA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CFE1D1">
                            <v:rect id="_x0000_i1035" style="width:468pt;height:1.5pt" o:hrstd="t" o:hr="t" fillcolor="#a0a0a0" stroked="f"/>
                          </w:pict>
                        </w:r>
                      </w:p>
                      <w:p w14:paraId="59892462" w14:textId="77777777" w:rsidR="00155FA9" w:rsidRDefault="00155FA9" w:rsidP="00155FA9">
                        <w:pPr>
                          <w:pStyle w:val="Heading3"/>
                          <w:spacing w:after="0"/>
                          <w:rPr>
                            <w:rFonts w:eastAsia="Times New Roman"/>
                          </w:rPr>
                        </w:pPr>
                        <w:r>
                          <w:rPr>
                            <w:rFonts w:eastAsia="Times New Roman"/>
                          </w:rPr>
                          <w:t>Services: 5th April deadlines</w:t>
                        </w:r>
                      </w:p>
                      <w:p w14:paraId="7D45AD9F" w14:textId="77777777" w:rsidR="00155FA9" w:rsidRDefault="00155FA9" w:rsidP="00155FA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Contractors are reminded that </w:t>
                        </w:r>
                        <w:proofErr w:type="gramStart"/>
                        <w:r>
                          <w:rPr>
                            <w:rFonts w:ascii="Tahoma" w:hAnsi="Tahoma" w:cs="Tahoma"/>
                            <w:color w:val="303030"/>
                            <w:sz w:val="21"/>
                            <w:szCs w:val="21"/>
                          </w:rPr>
                          <w:t>a number of</w:t>
                        </w:r>
                        <w:proofErr w:type="gramEnd"/>
                        <w:r>
                          <w:rPr>
                            <w:rFonts w:ascii="Tahoma" w:hAnsi="Tahoma" w:cs="Tahoma"/>
                            <w:color w:val="303030"/>
                            <w:sz w:val="21"/>
                            <w:szCs w:val="21"/>
                          </w:rPr>
                          <w:t xml:space="preserve"> services and Pharmacy Quality Scheme (PQS) deadlines are tomorrow (5th April 2022). These include the last claim dates for deliveries made under the Pandemic Delivery Service (Advanced service), activity undertaken for the catch-up New Medicine Service (NMS), and the minimum number of NMS needed to meet the PQS gateway criterion.</w:t>
                        </w:r>
                        <w:r>
                          <w:rPr>
                            <w:rFonts w:ascii="Tahoma" w:hAnsi="Tahoma" w:cs="Tahoma"/>
                            <w:color w:val="303030"/>
                            <w:sz w:val="21"/>
                            <w:szCs w:val="21"/>
                          </w:rPr>
                          <w:br/>
                        </w:r>
                        <w:r>
                          <w:rPr>
                            <w:rFonts w:ascii="Tahoma" w:hAnsi="Tahoma" w:cs="Tahoma"/>
                            <w:color w:val="303030"/>
                            <w:sz w:val="21"/>
                            <w:szCs w:val="21"/>
                          </w:rPr>
                          <w:lastRenderedPageBreak/>
                          <w:br/>
                        </w:r>
                        <w:hyperlink r:id="rId11" w:tgtFrame="_blank" w:history="1">
                          <w:r>
                            <w:rPr>
                              <w:rStyle w:val="Hyperlink"/>
                              <w:rFonts w:ascii="Tahoma" w:hAnsi="Tahoma" w:cs="Tahoma"/>
                              <w:b/>
                              <w:bCs/>
                              <w:color w:val="4E3487"/>
                              <w:sz w:val="21"/>
                              <w:szCs w:val="21"/>
                            </w:rPr>
                            <w:t>Find out more</w:t>
                          </w:r>
                        </w:hyperlink>
                      </w:p>
                      <w:p w14:paraId="7522ADC9" w14:textId="77777777" w:rsidR="00155FA9" w:rsidRDefault="00155FA9" w:rsidP="00155FA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116F069">
                            <v:rect id="_x0000_i1036" style="width:468pt;height:1.5pt" o:hrstd="t" o:hr="t" fillcolor="#a0a0a0" stroked="f"/>
                          </w:pict>
                        </w:r>
                      </w:p>
                      <w:p w14:paraId="4E71F021" w14:textId="77777777" w:rsidR="00155FA9" w:rsidRDefault="00155FA9" w:rsidP="00155FA9">
                        <w:pPr>
                          <w:pStyle w:val="Heading3"/>
                          <w:spacing w:after="0"/>
                          <w:rPr>
                            <w:rFonts w:eastAsia="Times New Roman"/>
                          </w:rPr>
                        </w:pPr>
                        <w:r>
                          <w:rPr>
                            <w:rFonts w:eastAsia="Times New Roman"/>
                          </w:rPr>
                          <w:t>Single Activity Fee reverts to £1.27 from April</w:t>
                        </w:r>
                      </w:p>
                      <w:p w14:paraId="0416026D" w14:textId="77777777" w:rsidR="00155FA9" w:rsidRDefault="00155FA9" w:rsidP="00155FA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value of the Single Activity Fee has reverted to £1.27 from 1st April 2022. PSNC will continue to monitor fee levels throughout the year in order to ensure the full delivery of funding agreed under the Community Pharmacy Contractual Framework.</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more</w:t>
                          </w:r>
                        </w:hyperlink>
                      </w:p>
                      <w:p w14:paraId="5B67BA4E" w14:textId="77777777" w:rsidR="00155FA9" w:rsidRDefault="00155FA9" w:rsidP="00155FA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811ABAF">
                            <v:rect id="_x0000_i1037" style="width:468pt;height:1.5pt" o:hrstd="t" o:hr="t" fillcolor="#a0a0a0" stroked="f"/>
                          </w:pict>
                        </w:r>
                      </w:p>
                      <w:p w14:paraId="356330B5" w14:textId="77777777" w:rsidR="00155FA9" w:rsidRDefault="00155FA9" w:rsidP="00155FA9">
                        <w:pPr>
                          <w:pStyle w:val="Heading3"/>
                          <w:spacing w:after="0"/>
                          <w:rPr>
                            <w:rFonts w:eastAsia="Times New Roman"/>
                          </w:rPr>
                        </w:pPr>
                        <w:r>
                          <w:rPr>
                            <w:rFonts w:eastAsia="Times New Roman"/>
                          </w:rPr>
                          <w:t>Updates to SSP014 and SSP017</w:t>
                        </w:r>
                      </w:p>
                      <w:p w14:paraId="39505896" w14:textId="77777777" w:rsidR="00155FA9" w:rsidRDefault="00155FA9" w:rsidP="00155FA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following Serious Shortage Protocols (SSPs) have been amended.</w:t>
                        </w:r>
                      </w:p>
                      <w:p w14:paraId="5A633B3F" w14:textId="77777777" w:rsidR="00155FA9" w:rsidRDefault="00155FA9" w:rsidP="00155FA9">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 xml:space="preserve">SSP014 for </w:t>
                        </w:r>
                        <w:proofErr w:type="spellStart"/>
                        <w:r>
                          <w:rPr>
                            <w:rStyle w:val="Strong"/>
                            <w:rFonts w:ascii="Tahoma" w:eastAsia="Times New Roman" w:hAnsi="Tahoma" w:cs="Tahoma"/>
                            <w:color w:val="303030"/>
                            <w:sz w:val="21"/>
                            <w:szCs w:val="21"/>
                          </w:rPr>
                          <w:t>Salazopyrin</w:t>
                        </w:r>
                        <w:proofErr w:type="spellEnd"/>
                        <w:r>
                          <w:rPr>
                            <w:rStyle w:val="Strong"/>
                            <w:rFonts w:ascii="Tahoma" w:eastAsia="Times New Roman" w:hAnsi="Tahoma" w:cs="Tahoma"/>
                            <w:color w:val="303030"/>
                            <w:sz w:val="21"/>
                            <w:szCs w:val="21"/>
                          </w:rPr>
                          <w:t>® EN-Tabs 500mg:</w:t>
                        </w:r>
                        <w:r>
                          <w:rPr>
                            <w:rFonts w:ascii="Tahoma" w:eastAsia="Times New Roman" w:hAnsi="Tahoma" w:cs="Tahoma"/>
                            <w:color w:val="303030"/>
                            <w:sz w:val="21"/>
                            <w:szCs w:val="21"/>
                          </w:rPr>
                          <w:t xml:space="preserve"> This SSP has now expired.</w:t>
                        </w:r>
                      </w:p>
                      <w:p w14:paraId="2BE4C80A" w14:textId="77777777" w:rsidR="00155FA9" w:rsidRDefault="00155FA9" w:rsidP="00155FA9">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SSP017 for Lipitor® 20mg chewable tablets:</w:t>
                        </w:r>
                        <w:r>
                          <w:rPr>
                            <w:rFonts w:ascii="Tahoma" w:eastAsia="Times New Roman" w:hAnsi="Tahoma" w:cs="Tahoma"/>
                            <w:color w:val="303030"/>
                            <w:sz w:val="21"/>
                            <w:szCs w:val="21"/>
                          </w:rPr>
                          <w:t xml:space="preserve"> This SSP has been further extended to Wednesday 13th April 2022.</w:t>
                        </w:r>
                      </w:p>
                      <w:p w14:paraId="02DAED8C" w14:textId="77777777" w:rsidR="00155FA9" w:rsidRDefault="00155FA9" w:rsidP="00155FA9">
                        <w:pPr>
                          <w:pStyle w:val="NormalWeb"/>
                          <w:spacing w:before="0" w:beforeAutospacing="0" w:after="0" w:afterAutospacing="0" w:line="264" w:lineRule="auto"/>
                          <w:rPr>
                            <w:rFonts w:ascii="Tahoma" w:hAnsi="Tahoma" w:cs="Tahoma"/>
                            <w:color w:val="303030"/>
                            <w:sz w:val="21"/>
                            <w:szCs w:val="21"/>
                          </w:rPr>
                        </w:pPr>
                        <w:hyperlink r:id="rId13" w:tgtFrame="_blank" w:history="1">
                          <w:r>
                            <w:rPr>
                              <w:rStyle w:val="Hyperlink"/>
                              <w:rFonts w:ascii="Tahoma" w:hAnsi="Tahoma" w:cs="Tahoma"/>
                              <w:b/>
                              <w:bCs/>
                              <w:color w:val="4E3487"/>
                              <w:sz w:val="21"/>
                              <w:szCs w:val="21"/>
                            </w:rPr>
                            <w:t>Learn more</w:t>
                          </w:r>
                        </w:hyperlink>
                      </w:p>
                      <w:p w14:paraId="23D7B308" w14:textId="77777777" w:rsidR="00155FA9" w:rsidRDefault="00155FA9" w:rsidP="00155FA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8F4339D">
                            <v:rect id="_x0000_i1038" style="width:468pt;height:1.5pt" o:hrstd="t" o:hr="t" fillcolor="#a0a0a0" stroked="f"/>
                          </w:pict>
                        </w:r>
                      </w:p>
                      <w:p w14:paraId="24FC02F7" w14:textId="77777777" w:rsidR="00155FA9" w:rsidRDefault="00155FA9" w:rsidP="00155FA9">
                        <w:pPr>
                          <w:pStyle w:val="Heading3"/>
                          <w:spacing w:after="0"/>
                          <w:rPr>
                            <w:rFonts w:eastAsia="Times New Roman"/>
                          </w:rPr>
                        </w:pPr>
                        <w:r>
                          <w:rPr>
                            <w:rFonts w:eastAsia="Times New Roman"/>
                          </w:rPr>
                          <w:t>New pharmacy system receives EPS accreditation </w:t>
                        </w:r>
                      </w:p>
                      <w:p w14:paraId="730A8C07" w14:textId="77777777" w:rsidR="00155FA9" w:rsidRDefault="00155FA9" w:rsidP="00155FA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NHS Digital has confirmed that a new Patient Medication Record (PMR) system called </w:t>
                        </w:r>
                        <w:r>
                          <w:rPr>
                            <w:rStyle w:val="Strong"/>
                            <w:rFonts w:ascii="Tahoma" w:hAnsi="Tahoma" w:cs="Tahoma"/>
                            <w:color w:val="303030"/>
                            <w:sz w:val="21"/>
                            <w:szCs w:val="21"/>
                          </w:rPr>
                          <w:t>V-Rx</w:t>
                        </w:r>
                        <w:r>
                          <w:rPr>
                            <w:rFonts w:ascii="Tahoma" w:hAnsi="Tahoma" w:cs="Tahoma"/>
                            <w:color w:val="303030"/>
                            <w:sz w:val="21"/>
                            <w:szCs w:val="21"/>
                          </w:rPr>
                          <w:t> has been granted Electronic Prescription Service (EPS) accreditation.</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Find out more</w:t>
                          </w:r>
                        </w:hyperlink>
                      </w:p>
                    </w:tc>
                    <w:tc>
                      <w:tcPr>
                        <w:tcW w:w="150" w:type="dxa"/>
                        <w:vAlign w:val="center"/>
                        <w:hideMark/>
                      </w:tcPr>
                      <w:p w14:paraId="76AAE1A0" w14:textId="77777777" w:rsidR="00155FA9" w:rsidRDefault="00155FA9">
                        <w:pPr>
                          <w:rPr>
                            <w:rFonts w:ascii="Tahoma" w:hAnsi="Tahoma" w:cs="Tahoma"/>
                            <w:color w:val="303030"/>
                            <w:sz w:val="21"/>
                            <w:szCs w:val="21"/>
                          </w:rPr>
                        </w:pPr>
                      </w:p>
                    </w:tc>
                  </w:tr>
                  <w:tr w:rsidR="00155FA9" w14:paraId="12AD2DEC" w14:textId="77777777">
                    <w:trPr>
                      <w:trHeight w:val="150"/>
                      <w:tblCellSpacing w:w="15" w:type="dxa"/>
                      <w:jc w:val="center"/>
                    </w:trPr>
                    <w:tc>
                      <w:tcPr>
                        <w:tcW w:w="150" w:type="dxa"/>
                        <w:vAlign w:val="center"/>
                        <w:hideMark/>
                      </w:tcPr>
                      <w:p w14:paraId="253A024D" w14:textId="77777777" w:rsidR="00155FA9" w:rsidRDefault="00155FA9">
                        <w:pPr>
                          <w:rPr>
                            <w:rFonts w:ascii="Times New Roman" w:eastAsia="Times New Roman" w:hAnsi="Times New Roman" w:cs="Times New Roman"/>
                            <w:sz w:val="20"/>
                            <w:szCs w:val="20"/>
                          </w:rPr>
                        </w:pPr>
                      </w:p>
                    </w:tc>
                    <w:tc>
                      <w:tcPr>
                        <w:tcW w:w="8700" w:type="dxa"/>
                        <w:vAlign w:val="center"/>
                        <w:hideMark/>
                      </w:tcPr>
                      <w:p w14:paraId="3D771BF0" w14:textId="77777777" w:rsidR="00155FA9" w:rsidRDefault="00155FA9">
                        <w:pPr>
                          <w:rPr>
                            <w:rFonts w:ascii="Times New Roman" w:eastAsia="Times New Roman" w:hAnsi="Times New Roman" w:cs="Times New Roman"/>
                            <w:sz w:val="20"/>
                            <w:szCs w:val="20"/>
                          </w:rPr>
                        </w:pPr>
                      </w:p>
                    </w:tc>
                    <w:tc>
                      <w:tcPr>
                        <w:tcW w:w="150" w:type="dxa"/>
                        <w:vAlign w:val="center"/>
                        <w:hideMark/>
                      </w:tcPr>
                      <w:p w14:paraId="1D77A978" w14:textId="77777777" w:rsidR="00155FA9" w:rsidRDefault="00155FA9">
                        <w:pPr>
                          <w:rPr>
                            <w:rFonts w:ascii="Times New Roman" w:eastAsia="Times New Roman" w:hAnsi="Times New Roman" w:cs="Times New Roman"/>
                            <w:sz w:val="20"/>
                            <w:szCs w:val="20"/>
                          </w:rPr>
                        </w:pPr>
                      </w:p>
                    </w:tc>
                  </w:tr>
                </w:tbl>
                <w:p w14:paraId="18C77B99" w14:textId="77777777" w:rsidR="00155FA9" w:rsidRDefault="00155FA9">
                  <w:pPr>
                    <w:jc w:val="center"/>
                    <w:rPr>
                      <w:rFonts w:ascii="Times New Roman" w:eastAsia="Times New Roman" w:hAnsi="Times New Roman" w:cs="Times New Roman"/>
                      <w:sz w:val="20"/>
                      <w:szCs w:val="20"/>
                    </w:rPr>
                  </w:pPr>
                </w:p>
              </w:tc>
            </w:tr>
          </w:tbl>
          <w:p w14:paraId="3FEAC5E8" w14:textId="77777777" w:rsidR="00155FA9" w:rsidRDefault="00155FA9">
            <w:pPr>
              <w:jc w:val="center"/>
              <w:rPr>
                <w:rFonts w:ascii="Times New Roman" w:eastAsia="Times New Roman" w:hAnsi="Times New Roman" w:cs="Times New Roman"/>
                <w:sz w:val="20"/>
                <w:szCs w:val="20"/>
              </w:rPr>
            </w:pPr>
          </w:p>
        </w:tc>
      </w:tr>
      <w:tr w:rsidR="00155FA9" w14:paraId="3E5EE5DD" w14:textId="77777777" w:rsidTr="00155FA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55FA9" w14:paraId="70E380D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55FA9" w14:paraId="334743FF" w14:textId="77777777">
                    <w:trPr>
                      <w:tblCellSpacing w:w="0" w:type="dxa"/>
                      <w:jc w:val="center"/>
                    </w:trPr>
                    <w:tc>
                      <w:tcPr>
                        <w:tcW w:w="3000" w:type="dxa"/>
                        <w:tcMar>
                          <w:top w:w="30" w:type="dxa"/>
                          <w:left w:w="75" w:type="dxa"/>
                          <w:bottom w:w="30" w:type="dxa"/>
                          <w:right w:w="75" w:type="dxa"/>
                        </w:tcMar>
                        <w:hideMark/>
                      </w:tcPr>
                      <w:p w14:paraId="0A60EC65" w14:textId="77777777" w:rsidR="00155FA9" w:rsidRDefault="00155FA9">
                        <w:pPr>
                          <w:pStyle w:val="Heading4"/>
                          <w:jc w:val="center"/>
                          <w:rPr>
                            <w:rFonts w:eastAsia="Times New Roman"/>
                          </w:rPr>
                        </w:pPr>
                        <w:r>
                          <w:rPr>
                            <w:rFonts w:eastAsia="Times New Roman"/>
                          </w:rPr>
                          <w:lastRenderedPageBreak/>
                          <w:t>Pharmaceutical Services Negotiating Committee</w:t>
                        </w:r>
                      </w:p>
                      <w:p w14:paraId="4359934B" w14:textId="2EE65137" w:rsidR="00155FA9" w:rsidRDefault="00155FA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B6CDC1D" wp14:editId="007F4E2A">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A450259" wp14:editId="24CD5809">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4780AE9" wp14:editId="322C3D3E">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C479324" wp14:editId="61C28466">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E746B5A" w14:textId="77777777" w:rsidR="00155FA9" w:rsidRDefault="00155FA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55FA9" w14:paraId="6C908F56" w14:textId="77777777" w:rsidTr="00155FA9">
                    <w:trPr>
                      <w:trHeight w:val="20"/>
                      <w:tblCellSpacing w:w="0" w:type="dxa"/>
                      <w:jc w:val="center"/>
                    </w:trPr>
                    <w:tc>
                      <w:tcPr>
                        <w:tcW w:w="9000" w:type="dxa"/>
                        <w:tcMar>
                          <w:top w:w="150" w:type="dxa"/>
                          <w:left w:w="0" w:type="dxa"/>
                          <w:bottom w:w="0" w:type="dxa"/>
                          <w:right w:w="0" w:type="dxa"/>
                        </w:tcMar>
                        <w:vAlign w:val="center"/>
                        <w:hideMark/>
                      </w:tcPr>
                      <w:p w14:paraId="5008617B" w14:textId="2CD1410C" w:rsidR="00155FA9" w:rsidRDefault="00155FA9" w:rsidP="00155FA9">
                        <w:pPr>
                          <w:rPr>
                            <w:rFonts w:ascii="Arial" w:eastAsia="Times New Roman" w:hAnsi="Arial" w:cs="Arial"/>
                            <w:color w:val="FFFFFF"/>
                            <w:sz w:val="17"/>
                            <w:szCs w:val="17"/>
                          </w:rPr>
                        </w:pPr>
                      </w:p>
                    </w:tc>
                  </w:tr>
                </w:tbl>
                <w:p w14:paraId="00D7C66A" w14:textId="77777777" w:rsidR="00155FA9" w:rsidRDefault="00155FA9">
                  <w:pPr>
                    <w:jc w:val="center"/>
                    <w:rPr>
                      <w:rFonts w:ascii="Times New Roman" w:eastAsia="Times New Roman" w:hAnsi="Times New Roman" w:cs="Times New Roman"/>
                      <w:sz w:val="20"/>
                      <w:szCs w:val="20"/>
                    </w:rPr>
                  </w:pPr>
                </w:p>
              </w:tc>
            </w:tr>
          </w:tbl>
          <w:p w14:paraId="62D271A6" w14:textId="77777777" w:rsidR="00155FA9" w:rsidRDefault="00155FA9">
            <w:pPr>
              <w:jc w:val="center"/>
              <w:rPr>
                <w:rFonts w:ascii="Times New Roman" w:eastAsia="Times New Roman" w:hAnsi="Times New Roman" w:cs="Times New Roman"/>
                <w:sz w:val="20"/>
                <w:szCs w:val="20"/>
              </w:rPr>
            </w:pPr>
          </w:p>
        </w:tc>
      </w:tr>
    </w:tbl>
    <w:p w14:paraId="59A53317" w14:textId="56574A2F" w:rsidR="00155FA9" w:rsidRDefault="00155FA9" w:rsidP="00155FA9">
      <w:pPr>
        <w:rPr>
          <w:rFonts w:eastAsia="Times New Roman"/>
        </w:rPr>
      </w:pPr>
      <w:r>
        <w:rPr>
          <w:rFonts w:eastAsia="Times New Roman"/>
          <w:noProof/>
        </w:rPr>
        <w:drawing>
          <wp:inline distT="0" distB="0" distL="0" distR="0" wp14:anchorId="20E4A7B8" wp14:editId="6946A5E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58236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F0BD1"/>
    <w:multiLevelType w:val="multilevel"/>
    <w:tmpl w:val="220A2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A9"/>
    <w:rsid w:val="00155FA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EDFD"/>
  <w15:chartTrackingRefBased/>
  <w15:docId w15:val="{DF26C562-4B89-42C4-8D42-F091EC53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FA9"/>
    <w:rPr>
      <w:rFonts w:ascii="Calibri" w:hAnsi="Calibri" w:cs="Calibri"/>
      <w:lang w:eastAsia="en-GB"/>
    </w:rPr>
  </w:style>
  <w:style w:type="paragraph" w:styleId="Heading1">
    <w:name w:val="heading 1"/>
    <w:basedOn w:val="Normal"/>
    <w:link w:val="Heading1Char"/>
    <w:uiPriority w:val="9"/>
    <w:qFormat/>
    <w:rsid w:val="00155FA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55FA9"/>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55FA9"/>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55FA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FA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55FA9"/>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55FA9"/>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55FA9"/>
    <w:rPr>
      <w:rFonts w:ascii="Tahoma" w:hAnsi="Tahoma" w:cs="Tahoma"/>
      <w:b/>
      <w:bCs/>
      <w:color w:val="FFFFFF"/>
      <w:sz w:val="18"/>
      <w:szCs w:val="18"/>
      <w:lang w:eastAsia="en-GB"/>
    </w:rPr>
  </w:style>
  <w:style w:type="paragraph" w:styleId="NormalWeb">
    <w:name w:val="Normal (Web)"/>
    <w:basedOn w:val="Normal"/>
    <w:uiPriority w:val="99"/>
    <w:semiHidden/>
    <w:unhideWhenUsed/>
    <w:rsid w:val="00155FA9"/>
    <w:pPr>
      <w:spacing w:before="100" w:beforeAutospacing="1" w:after="100" w:afterAutospacing="1"/>
    </w:pPr>
  </w:style>
  <w:style w:type="character" w:styleId="Strong">
    <w:name w:val="Strong"/>
    <w:basedOn w:val="DefaultParagraphFont"/>
    <w:uiPriority w:val="22"/>
    <w:qFormat/>
    <w:rsid w:val="00155FA9"/>
    <w:rPr>
      <w:b/>
      <w:bCs/>
    </w:rPr>
  </w:style>
  <w:style w:type="character" w:styleId="Hyperlink">
    <w:name w:val="Hyperlink"/>
    <w:basedOn w:val="DefaultParagraphFont"/>
    <w:uiPriority w:val="99"/>
    <w:semiHidden/>
    <w:unhideWhenUsed/>
    <w:rsid w:val="00155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26d5da5348&amp;e=d19e9fd41c" TargetMode="External"/><Relationship Id="rId18" Type="http://schemas.openxmlformats.org/officeDocument/2006/relationships/hyperlink" Target="https://psnc.us7.list-manage.com/track/click?u=86d41ab7fa4c7c2c5d7210782&amp;id=638b712bec&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7f2c71f356&amp;e=d19e9fd41c"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42f0b5c896&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d43c35af36&amp;e=d19e9fd41c"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97c123c555&amp;e=d19e9fd41c" TargetMode="External"/><Relationship Id="rId24" Type="http://schemas.openxmlformats.org/officeDocument/2006/relationships/hyperlink" Target="https://psnc.us7.list-manage.com/track/click?u=86d41ab7fa4c7c2c5d7210782&amp;id=64cbb74d44&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f40a2e3f1&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f013def1fc&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593314b857&amp;e=d19e9fd41c" TargetMode="External"/><Relationship Id="rId14" Type="http://schemas.openxmlformats.org/officeDocument/2006/relationships/hyperlink" Target="https://psnc.us7.list-manage.com/track/click?u=86d41ab7fa4c7c2c5d7210782&amp;id=02fc9183ff&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2022-04-05T07:29:00Z</dcterms:created>
  <dcterms:modified xsi:type="dcterms:W3CDTF">2022-04-05T07:31:00Z</dcterms:modified>
</cp:coreProperties>
</file>