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C6DCE" w14:paraId="7123106E" w14:textId="77777777" w:rsidTr="003C6DCE">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C6DCE" w14:paraId="2449790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C6DCE" w14:paraId="360D9734" w14:textId="77777777">
                    <w:trPr>
                      <w:tblCellSpacing w:w="0" w:type="dxa"/>
                      <w:jc w:val="center"/>
                    </w:trPr>
                    <w:tc>
                      <w:tcPr>
                        <w:tcW w:w="3000" w:type="dxa"/>
                        <w:hideMark/>
                      </w:tcPr>
                      <w:p w14:paraId="2FBE63F6" w14:textId="7FF28578" w:rsidR="003C6DCE" w:rsidRDefault="003C6DCE">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26E80A1" w14:textId="77777777" w:rsidR="003C6DCE" w:rsidRDefault="003C6DCE">
                  <w:pPr>
                    <w:jc w:val="center"/>
                    <w:rPr>
                      <w:rFonts w:ascii="Times New Roman" w:eastAsia="Times New Roman" w:hAnsi="Times New Roman" w:cs="Times New Roman"/>
                      <w:sz w:val="20"/>
                      <w:szCs w:val="20"/>
                    </w:rPr>
                  </w:pPr>
                </w:p>
              </w:tc>
            </w:tr>
            <w:tr w:rsidR="003C6DCE" w14:paraId="6C635767"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C6DCE" w14:paraId="7E58EBCA"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8D494B0" w14:textId="1711C638" w:rsidR="003C6DCE" w:rsidRDefault="003C6DCE">
                        <w:pPr>
                          <w:jc w:val="center"/>
                          <w:rPr>
                            <w:rFonts w:eastAsia="Times New Roman"/>
                          </w:rPr>
                        </w:pPr>
                        <w:r>
                          <w:rPr>
                            <w:rFonts w:eastAsia="Times New Roman"/>
                            <w:noProof/>
                          </w:rPr>
                          <w:drawing>
                            <wp:inline distT="0" distB="0" distL="0" distR="0" wp14:anchorId="13CB0962" wp14:editId="6E6E431E">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C6DCE" w14:paraId="3BAD3791" w14:textId="77777777">
                    <w:trPr>
                      <w:tblCellSpacing w:w="0" w:type="dxa"/>
                    </w:trPr>
                    <w:tc>
                      <w:tcPr>
                        <w:tcW w:w="0" w:type="auto"/>
                        <w:vMerge/>
                        <w:tcBorders>
                          <w:top w:val="nil"/>
                          <w:left w:val="nil"/>
                          <w:bottom w:val="single" w:sz="2" w:space="0" w:color="FFFFFF"/>
                          <w:right w:val="nil"/>
                        </w:tcBorders>
                        <w:vAlign w:val="center"/>
                        <w:hideMark/>
                      </w:tcPr>
                      <w:p w14:paraId="345AAC01" w14:textId="77777777" w:rsidR="003C6DCE" w:rsidRDefault="003C6DCE">
                        <w:pPr>
                          <w:rPr>
                            <w:rFonts w:eastAsia="Times New Roman"/>
                          </w:rPr>
                        </w:pPr>
                      </w:p>
                    </w:tc>
                    <w:tc>
                      <w:tcPr>
                        <w:tcW w:w="3450" w:type="dxa"/>
                        <w:tcBorders>
                          <w:top w:val="nil"/>
                          <w:left w:val="nil"/>
                          <w:bottom w:val="nil"/>
                          <w:right w:val="nil"/>
                        </w:tcBorders>
                        <w:vAlign w:val="center"/>
                        <w:hideMark/>
                      </w:tcPr>
                      <w:p w14:paraId="15857383" w14:textId="77777777" w:rsidR="003C6DCE" w:rsidRDefault="003C6DCE">
                        <w:pPr>
                          <w:pStyle w:val="Heading1"/>
                          <w:rPr>
                            <w:rFonts w:eastAsia="Times New Roman"/>
                          </w:rPr>
                        </w:pPr>
                        <w:r>
                          <w:rPr>
                            <w:rFonts w:eastAsia="Times New Roman"/>
                          </w:rPr>
                          <w:t>PSNC Newsletter</w:t>
                        </w:r>
                      </w:p>
                    </w:tc>
                  </w:tr>
                  <w:tr w:rsidR="003C6DCE" w14:paraId="66E60A58" w14:textId="77777777">
                    <w:trPr>
                      <w:tblCellSpacing w:w="0" w:type="dxa"/>
                    </w:trPr>
                    <w:tc>
                      <w:tcPr>
                        <w:tcW w:w="0" w:type="auto"/>
                        <w:vMerge/>
                        <w:tcBorders>
                          <w:top w:val="nil"/>
                          <w:left w:val="nil"/>
                          <w:bottom w:val="single" w:sz="2" w:space="0" w:color="FFFFFF"/>
                          <w:right w:val="nil"/>
                        </w:tcBorders>
                        <w:vAlign w:val="center"/>
                        <w:hideMark/>
                      </w:tcPr>
                      <w:p w14:paraId="7F397A62" w14:textId="77777777" w:rsidR="003C6DCE" w:rsidRDefault="003C6DCE">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B18F118" w14:textId="77777777" w:rsidR="003C6DCE" w:rsidRDefault="003C6DCE">
                        <w:pPr>
                          <w:pStyle w:val="Heading2"/>
                          <w:rPr>
                            <w:rFonts w:eastAsia="Times New Roman"/>
                            <w:color w:val="93378A"/>
                          </w:rPr>
                        </w:pPr>
                        <w:r>
                          <w:rPr>
                            <w:rFonts w:eastAsia="Times New Roman"/>
                            <w:color w:val="93378A"/>
                          </w:rPr>
                          <w:t>Friday 1st April 2022</w:t>
                        </w:r>
                      </w:p>
                    </w:tc>
                  </w:tr>
                </w:tbl>
                <w:p w14:paraId="2227D000" w14:textId="77777777" w:rsidR="003C6DCE" w:rsidRDefault="003C6DCE">
                  <w:pPr>
                    <w:rPr>
                      <w:rFonts w:ascii="Times New Roman" w:eastAsia="Times New Roman" w:hAnsi="Times New Roman" w:cs="Times New Roman"/>
                      <w:sz w:val="20"/>
                      <w:szCs w:val="20"/>
                    </w:rPr>
                  </w:pPr>
                </w:p>
              </w:tc>
            </w:tr>
            <w:tr w:rsidR="003C6DCE" w14:paraId="07C5A095" w14:textId="77777777">
              <w:tblPrEx>
                <w:shd w:val="clear" w:color="auto" w:fill="auto"/>
              </w:tblPrEx>
              <w:trPr>
                <w:tblCellSpacing w:w="0" w:type="dxa"/>
                <w:jc w:val="center"/>
              </w:trPr>
              <w:tc>
                <w:tcPr>
                  <w:tcW w:w="9000" w:type="dxa"/>
                  <w:hideMark/>
                </w:tcPr>
                <w:p w14:paraId="3A1D0E98" w14:textId="1483C63C" w:rsidR="003C6DCE" w:rsidRDefault="003C6DCE">
                  <w:pPr>
                    <w:rPr>
                      <w:rFonts w:eastAsia="Times New Roman"/>
                    </w:rPr>
                  </w:pPr>
                  <w:r>
                    <w:rPr>
                      <w:rFonts w:eastAsia="Times New Roman"/>
                      <w:noProof/>
                    </w:rPr>
                    <w:drawing>
                      <wp:inline distT="0" distB="0" distL="0" distR="0" wp14:anchorId="6F33B8A2" wp14:editId="1FA4E8CD">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C6DCE" w14:paraId="35DC0A55"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3C6DCE" w14:paraId="12496840" w14:textId="77777777">
                    <w:trPr>
                      <w:trHeight w:val="150"/>
                      <w:tblCellSpacing w:w="15" w:type="dxa"/>
                      <w:jc w:val="center"/>
                    </w:trPr>
                    <w:tc>
                      <w:tcPr>
                        <w:tcW w:w="150" w:type="dxa"/>
                        <w:vAlign w:val="center"/>
                        <w:hideMark/>
                      </w:tcPr>
                      <w:p w14:paraId="43AE32EB" w14:textId="77777777" w:rsidR="003C6DCE" w:rsidRDefault="003C6DCE">
                        <w:pPr>
                          <w:rPr>
                            <w:rFonts w:eastAsia="Times New Roman"/>
                          </w:rPr>
                        </w:pPr>
                      </w:p>
                    </w:tc>
                    <w:tc>
                      <w:tcPr>
                        <w:tcW w:w="8700" w:type="dxa"/>
                        <w:vAlign w:val="center"/>
                        <w:hideMark/>
                      </w:tcPr>
                      <w:p w14:paraId="0CE44375" w14:textId="77777777" w:rsidR="003C6DCE" w:rsidRDefault="003C6DCE">
                        <w:pPr>
                          <w:rPr>
                            <w:rFonts w:ascii="Times New Roman" w:eastAsia="Times New Roman" w:hAnsi="Times New Roman" w:cs="Times New Roman"/>
                            <w:sz w:val="20"/>
                            <w:szCs w:val="20"/>
                          </w:rPr>
                        </w:pPr>
                      </w:p>
                    </w:tc>
                    <w:tc>
                      <w:tcPr>
                        <w:tcW w:w="150" w:type="dxa"/>
                        <w:vAlign w:val="center"/>
                        <w:hideMark/>
                      </w:tcPr>
                      <w:p w14:paraId="2BFC8A11" w14:textId="77777777" w:rsidR="003C6DCE" w:rsidRDefault="003C6DCE">
                        <w:pPr>
                          <w:rPr>
                            <w:rFonts w:ascii="Times New Roman" w:eastAsia="Times New Roman" w:hAnsi="Times New Roman" w:cs="Times New Roman"/>
                            <w:sz w:val="20"/>
                            <w:szCs w:val="20"/>
                          </w:rPr>
                        </w:pPr>
                      </w:p>
                    </w:tc>
                  </w:tr>
                  <w:tr w:rsidR="003C6DCE" w14:paraId="327690CD" w14:textId="77777777">
                    <w:trPr>
                      <w:tblCellSpacing w:w="15" w:type="dxa"/>
                      <w:jc w:val="center"/>
                    </w:trPr>
                    <w:tc>
                      <w:tcPr>
                        <w:tcW w:w="150" w:type="dxa"/>
                        <w:vAlign w:val="center"/>
                        <w:hideMark/>
                      </w:tcPr>
                      <w:p w14:paraId="253109F6" w14:textId="77777777" w:rsidR="003C6DCE" w:rsidRDefault="003C6DCE">
                        <w:pPr>
                          <w:rPr>
                            <w:rFonts w:ascii="Times New Roman" w:eastAsia="Times New Roman" w:hAnsi="Times New Roman" w:cs="Times New Roman"/>
                            <w:sz w:val="20"/>
                            <w:szCs w:val="20"/>
                          </w:rPr>
                        </w:pPr>
                      </w:p>
                    </w:tc>
                    <w:tc>
                      <w:tcPr>
                        <w:tcW w:w="8700" w:type="dxa"/>
                        <w:vAlign w:val="center"/>
                        <w:hideMark/>
                      </w:tcPr>
                      <w:p w14:paraId="6557EA5F" w14:textId="77777777" w:rsidR="003C6DCE" w:rsidRDefault="003C6DCE">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8C72DB4" w14:textId="77777777" w:rsidR="003C6DCE" w:rsidRDefault="003C6DC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E3F1C5C">
                            <v:rect id="_x0000_i1032" style="width:468pt;height:1.5pt" o:hralign="center" o:hrstd="t" o:hr="t" fillcolor="#a0a0a0" stroked="f"/>
                          </w:pict>
                        </w:r>
                      </w:p>
                      <w:p w14:paraId="0C314183" w14:textId="77777777" w:rsidR="003C6DCE" w:rsidRDefault="003C6DCE">
                        <w:pPr>
                          <w:pStyle w:val="Heading2"/>
                          <w:rPr>
                            <w:rFonts w:eastAsia="Times New Roman"/>
                          </w:rPr>
                        </w:pPr>
                        <w:r>
                          <w:rPr>
                            <w:rFonts w:eastAsia="Times New Roman"/>
                          </w:rPr>
                          <w:t>In this update: PSNC guidance on unplanned pharmacy closures; charges for late submission of prescription forms; update of review and appeals process for C-19 costs; products reclassified as special containers; new items added to DND list.</w:t>
                        </w:r>
                      </w:p>
                      <w:p w14:paraId="58AB0073" w14:textId="77777777" w:rsidR="003C6DCE" w:rsidRDefault="003C6DC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62FB27D">
                            <v:rect id="_x0000_i1033" style="width:468pt;height:1.5pt" o:hralign="center" o:hrstd="t" o:hr="t" fillcolor="#a0a0a0" stroked="f"/>
                          </w:pict>
                        </w:r>
                      </w:p>
                      <w:p w14:paraId="333D2F05" w14:textId="77777777" w:rsidR="003C6DCE" w:rsidRDefault="003C6DCE" w:rsidP="003C6DCE">
                        <w:pPr>
                          <w:pStyle w:val="Heading2"/>
                          <w:spacing w:after="0"/>
                          <w:rPr>
                            <w:rFonts w:eastAsia="Times New Roman"/>
                          </w:rPr>
                        </w:pPr>
                        <w:r>
                          <w:rPr>
                            <w:rFonts w:eastAsia="Times New Roman"/>
                          </w:rPr>
                          <w:t>PSNC issues guidance on unplanned pharmacy closures</w:t>
                        </w:r>
                      </w:p>
                      <w:p w14:paraId="4D41943A" w14:textId="77777777" w:rsidR="003C6DCE" w:rsidRDefault="003C6DCE" w:rsidP="003C6D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the end of the emergency provisions allowing for flexibility of pharmacy opening hours and temporary closures, PSNC has published new guidance to support community pharmacy contractors. From today (1st April 2022), as the Government moves to its next stage in the pandemic recovery, the normal pharmacy Terms of Service rules and requirements around unplanned closures of community pharmacies have resumed.</w:t>
                        </w:r>
                        <w:r>
                          <w:rPr>
                            <w:rFonts w:ascii="Tahoma" w:eastAsia="Times New Roman" w:hAnsi="Tahoma" w:cs="Tahoma"/>
                            <w:color w:val="303030"/>
                            <w:sz w:val="21"/>
                            <w:szCs w:val="21"/>
                          </w:rPr>
                          <w:br/>
                        </w:r>
                        <w:r>
                          <w:rPr>
                            <w:rFonts w:ascii="Tahoma" w:eastAsia="Times New Roman" w:hAnsi="Tahoma" w:cs="Tahoma"/>
                            <w:color w:val="303030"/>
                            <w:sz w:val="21"/>
                            <w:szCs w:val="21"/>
                          </w:rPr>
                          <w:br/>
                          <w:t>According to the regulations, contractors must notify NHS England and NHS Improvement (NHSE&amp;I) of any unplanned closures for staff illness or other reasonable cause, defined as something that is beyond a contractor’s control. The contractors should make arrangements with other pharmacies in the area for the continued provision of pharmaceutical services and make reasonable endeavours to resume services at the pharmacy as soon as is practicable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67E064DC" w14:textId="77777777" w:rsidR="003C6DCE" w:rsidRDefault="003C6DCE" w:rsidP="003C6D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EDF40AD">
                            <v:rect id="_x0000_i1034" style="width:468pt;height:1.5pt" o:hrstd="t" o:hr="t" fillcolor="#a0a0a0" stroked="f"/>
                          </w:pict>
                        </w:r>
                      </w:p>
                      <w:p w14:paraId="268A4C6D" w14:textId="77777777" w:rsidR="003C6DCE" w:rsidRDefault="003C6DCE" w:rsidP="003C6DCE">
                        <w:pPr>
                          <w:pStyle w:val="Heading2"/>
                          <w:spacing w:after="0"/>
                          <w:rPr>
                            <w:rFonts w:eastAsia="Times New Roman"/>
                          </w:rPr>
                        </w:pPr>
                        <w:r>
                          <w:rPr>
                            <w:rFonts w:eastAsia="Times New Roman"/>
                          </w:rPr>
                          <w:t>Charges for late submission of prescription forms</w:t>
                        </w:r>
                      </w:p>
                      <w:p w14:paraId="22A2B8C8" w14:textId="77777777" w:rsidR="003C6DCE" w:rsidRDefault="003C6DCE" w:rsidP="003C6D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From April 2022 (for prescriptions dispensed in March 2022), NHSBSA may apply an administrative deduction of £25 if a prescription bundle is submitted late to the relevant pricing division.</w:t>
                        </w:r>
                        <w:r>
                          <w:rPr>
                            <w:rFonts w:ascii="Tahoma" w:eastAsia="Times New Roman" w:hAnsi="Tahoma" w:cs="Tahoma"/>
                            <w:color w:val="303030"/>
                            <w:sz w:val="21"/>
                            <w:szCs w:val="21"/>
                          </w:rPr>
                          <w:br/>
                        </w:r>
                        <w:r>
                          <w:rPr>
                            <w:rFonts w:ascii="Tahoma" w:eastAsia="Times New Roman" w:hAnsi="Tahoma" w:cs="Tahoma"/>
                            <w:color w:val="303030"/>
                            <w:sz w:val="21"/>
                            <w:szCs w:val="21"/>
                          </w:rPr>
                          <w:br/>
                          <w:t>Each month, a very small number of contractors submit their prescription bundles very late to NHSBSA. This delays the processing of their prescription bundles in a timely manner and affects the calculation of their advance payments. The £25 deduction reflects the administrative costs involved in NHSBSA calculating and making these payments.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more</w:t>
                          </w:r>
                        </w:hyperlink>
                        <w:r>
                          <w:rPr>
                            <w:rFonts w:ascii="Tahoma" w:eastAsia="Times New Roman" w:hAnsi="Tahoma" w:cs="Tahoma"/>
                            <w:color w:val="303030"/>
                            <w:sz w:val="21"/>
                            <w:szCs w:val="21"/>
                          </w:rPr>
                          <w:t xml:space="preserve"> </w:t>
                        </w:r>
                      </w:p>
                      <w:p w14:paraId="5797998F" w14:textId="77777777" w:rsidR="003C6DCE" w:rsidRDefault="003C6DCE" w:rsidP="003C6D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5C0E977">
                            <v:rect id="_x0000_i1035" style="width:468pt;height:1.5pt" o:hrstd="t" o:hr="t" fillcolor="#a0a0a0" stroked="f"/>
                          </w:pict>
                        </w:r>
                      </w:p>
                      <w:p w14:paraId="6DEAF909" w14:textId="77777777" w:rsidR="003C6DCE" w:rsidRDefault="003C6DCE" w:rsidP="003C6DCE">
                        <w:pPr>
                          <w:pStyle w:val="Heading2"/>
                          <w:spacing w:after="0"/>
                          <w:rPr>
                            <w:rFonts w:eastAsia="Times New Roman"/>
                          </w:rPr>
                        </w:pPr>
                        <w:r>
                          <w:rPr>
                            <w:rFonts w:eastAsia="Times New Roman"/>
                          </w:rPr>
                          <w:lastRenderedPageBreak/>
                          <w:t>Update of review and appeals process for COVID costs</w:t>
                        </w:r>
                      </w:p>
                      <w:p w14:paraId="6A60B24C" w14:textId="2F790395" w:rsidR="003C6DCE" w:rsidRDefault="003C6DCE" w:rsidP="003C6D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Pre- and Post- Payment Verification (PPV) of contractors’ COVID-19 cost claims has been continuing. This process is being led by the NHS Business Services Authority (NHSBSA). </w:t>
                        </w:r>
                      </w:p>
                      <w:p w14:paraId="508B359B" w14:textId="77777777" w:rsidR="003C6DCE" w:rsidRDefault="003C6DCE" w:rsidP="003C6DCE">
                        <w:pPr>
                          <w:spacing w:line="264" w:lineRule="auto"/>
                          <w:rPr>
                            <w:rFonts w:ascii="Tahoma" w:eastAsia="Times New Roman" w:hAnsi="Tahoma" w:cs="Tahoma"/>
                            <w:color w:val="303030"/>
                            <w:sz w:val="21"/>
                            <w:szCs w:val="21"/>
                          </w:rPr>
                        </w:pPr>
                      </w:p>
                      <w:p w14:paraId="1AA4FA55" w14:textId="77777777" w:rsidR="003C6DCE" w:rsidRDefault="003C6DCE" w:rsidP="003C6DC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Although the minority of contractors that have been audited have been paid in full, a few have had part of their claim disallowed by NHSBSA because of PPV. The information about how these contractors can dispute any unpaid amounts has been now finalised.</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Find out more</w:t>
                          </w:r>
                        </w:hyperlink>
                      </w:p>
                      <w:p w14:paraId="462457DC" w14:textId="77777777" w:rsidR="003C6DCE" w:rsidRDefault="003C6DCE" w:rsidP="003C6D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4C9520D">
                            <v:rect id="_x0000_i1036" style="width:468pt;height:1.5pt" o:hrstd="t" o:hr="t" fillcolor="#a0a0a0" stroked="f"/>
                          </w:pict>
                        </w:r>
                      </w:p>
                      <w:p w14:paraId="7B4B699C" w14:textId="77777777" w:rsidR="003C6DCE" w:rsidRDefault="003C6DCE" w:rsidP="003C6DCE">
                        <w:pPr>
                          <w:pStyle w:val="Heading2"/>
                          <w:spacing w:after="0"/>
                          <w:rPr>
                            <w:rFonts w:eastAsia="Times New Roman"/>
                          </w:rPr>
                        </w:pPr>
                        <w:r>
                          <w:rPr>
                            <w:rFonts w:eastAsia="Times New Roman"/>
                          </w:rPr>
                          <w:t>Products reclassified as special containers from April</w:t>
                        </w:r>
                      </w:p>
                      <w:p w14:paraId="171F8BF2" w14:textId="77777777" w:rsidR="003C6DCE" w:rsidRDefault="003C6DCE" w:rsidP="003C6D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representations from PSNC, the Department of Health of Social Care (DHSC) has re-determined the special container status of nine drugs that meet the criteria as set out in the relevant Clause of the Drug Tariff.</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30488993" w14:textId="77777777" w:rsidR="003C6DCE" w:rsidRDefault="003C6DCE" w:rsidP="003C6D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A5D6BB5">
                            <v:rect id="_x0000_i1037" style="width:468pt;height:1.5pt" o:hrstd="t" o:hr="t" fillcolor="#a0a0a0" stroked="f"/>
                          </w:pict>
                        </w:r>
                      </w:p>
                      <w:p w14:paraId="69D28AE4" w14:textId="77777777" w:rsidR="003C6DCE" w:rsidRDefault="003C6DCE" w:rsidP="003C6DCE">
                        <w:pPr>
                          <w:pStyle w:val="Heading2"/>
                          <w:spacing w:after="0"/>
                          <w:rPr>
                            <w:rFonts w:eastAsia="Times New Roman"/>
                          </w:rPr>
                        </w:pPr>
                        <w:r>
                          <w:rPr>
                            <w:rFonts w:eastAsia="Times New Roman"/>
                          </w:rPr>
                          <w:t>34 products added to the DND list from this month</w:t>
                        </w:r>
                      </w:p>
                      <w:p w14:paraId="4D273966" w14:textId="77777777" w:rsidR="003C6DCE" w:rsidRDefault="003C6DCE" w:rsidP="003C6DC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As a result of applications made by PSNC, 34 new products have now been added to the list of ‘Drugs for which Discount is Not Deducted’ (DND). From April 2022, the discount deduction scale will no longer apply to prescriptions dispensed for these products.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See the list of products added to the DND list</w:t>
                          </w:r>
                        </w:hyperlink>
                      </w:p>
                    </w:tc>
                    <w:tc>
                      <w:tcPr>
                        <w:tcW w:w="150" w:type="dxa"/>
                        <w:vAlign w:val="center"/>
                        <w:hideMark/>
                      </w:tcPr>
                      <w:p w14:paraId="74D1DF75" w14:textId="77777777" w:rsidR="003C6DCE" w:rsidRDefault="003C6DCE">
                        <w:pPr>
                          <w:rPr>
                            <w:rFonts w:ascii="Tahoma" w:eastAsia="Times New Roman" w:hAnsi="Tahoma" w:cs="Tahoma"/>
                            <w:color w:val="303030"/>
                            <w:sz w:val="21"/>
                            <w:szCs w:val="21"/>
                          </w:rPr>
                        </w:pPr>
                      </w:p>
                    </w:tc>
                  </w:tr>
                  <w:tr w:rsidR="003C6DCE" w14:paraId="1477B5C4" w14:textId="77777777">
                    <w:trPr>
                      <w:trHeight w:val="150"/>
                      <w:tblCellSpacing w:w="15" w:type="dxa"/>
                      <w:jc w:val="center"/>
                    </w:trPr>
                    <w:tc>
                      <w:tcPr>
                        <w:tcW w:w="150" w:type="dxa"/>
                        <w:vAlign w:val="center"/>
                        <w:hideMark/>
                      </w:tcPr>
                      <w:p w14:paraId="099DE7B6" w14:textId="77777777" w:rsidR="003C6DCE" w:rsidRDefault="003C6DCE">
                        <w:pPr>
                          <w:rPr>
                            <w:rFonts w:ascii="Times New Roman" w:eastAsia="Times New Roman" w:hAnsi="Times New Roman" w:cs="Times New Roman"/>
                            <w:sz w:val="20"/>
                            <w:szCs w:val="20"/>
                          </w:rPr>
                        </w:pPr>
                      </w:p>
                    </w:tc>
                    <w:tc>
                      <w:tcPr>
                        <w:tcW w:w="8700" w:type="dxa"/>
                        <w:vAlign w:val="center"/>
                        <w:hideMark/>
                      </w:tcPr>
                      <w:p w14:paraId="09CEDF6D" w14:textId="77777777" w:rsidR="003C6DCE" w:rsidRDefault="003C6DCE">
                        <w:pPr>
                          <w:rPr>
                            <w:rFonts w:ascii="Times New Roman" w:eastAsia="Times New Roman" w:hAnsi="Times New Roman" w:cs="Times New Roman"/>
                            <w:sz w:val="20"/>
                            <w:szCs w:val="20"/>
                          </w:rPr>
                        </w:pPr>
                      </w:p>
                    </w:tc>
                    <w:tc>
                      <w:tcPr>
                        <w:tcW w:w="150" w:type="dxa"/>
                        <w:vAlign w:val="center"/>
                        <w:hideMark/>
                      </w:tcPr>
                      <w:p w14:paraId="605E15D0" w14:textId="77777777" w:rsidR="003C6DCE" w:rsidRDefault="003C6DCE">
                        <w:pPr>
                          <w:rPr>
                            <w:rFonts w:ascii="Times New Roman" w:eastAsia="Times New Roman" w:hAnsi="Times New Roman" w:cs="Times New Roman"/>
                            <w:sz w:val="20"/>
                            <w:szCs w:val="20"/>
                          </w:rPr>
                        </w:pPr>
                      </w:p>
                    </w:tc>
                  </w:tr>
                </w:tbl>
                <w:p w14:paraId="4F84D494" w14:textId="77777777" w:rsidR="003C6DCE" w:rsidRDefault="003C6DCE">
                  <w:pPr>
                    <w:jc w:val="center"/>
                    <w:rPr>
                      <w:rFonts w:ascii="Times New Roman" w:eastAsia="Times New Roman" w:hAnsi="Times New Roman" w:cs="Times New Roman"/>
                      <w:sz w:val="20"/>
                      <w:szCs w:val="20"/>
                    </w:rPr>
                  </w:pPr>
                </w:p>
              </w:tc>
            </w:tr>
          </w:tbl>
          <w:p w14:paraId="55852D2E" w14:textId="77777777" w:rsidR="003C6DCE" w:rsidRDefault="003C6DCE">
            <w:pPr>
              <w:jc w:val="center"/>
              <w:rPr>
                <w:rFonts w:ascii="Times New Roman" w:eastAsia="Times New Roman" w:hAnsi="Times New Roman" w:cs="Times New Roman"/>
                <w:sz w:val="20"/>
                <w:szCs w:val="20"/>
              </w:rPr>
            </w:pPr>
          </w:p>
        </w:tc>
      </w:tr>
      <w:tr w:rsidR="003C6DCE" w14:paraId="5C932957" w14:textId="77777777" w:rsidTr="003C6DCE">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C6DCE" w14:paraId="71DDB43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C6DCE" w14:paraId="052AC1CD" w14:textId="77777777">
                    <w:trPr>
                      <w:tblCellSpacing w:w="0" w:type="dxa"/>
                      <w:jc w:val="center"/>
                    </w:trPr>
                    <w:tc>
                      <w:tcPr>
                        <w:tcW w:w="3000" w:type="dxa"/>
                        <w:tcMar>
                          <w:top w:w="30" w:type="dxa"/>
                          <w:left w:w="75" w:type="dxa"/>
                          <w:bottom w:w="30" w:type="dxa"/>
                          <w:right w:w="75" w:type="dxa"/>
                        </w:tcMar>
                        <w:hideMark/>
                      </w:tcPr>
                      <w:p w14:paraId="693A3A2E" w14:textId="77777777" w:rsidR="003C6DCE" w:rsidRDefault="003C6DCE">
                        <w:pPr>
                          <w:pStyle w:val="Heading4"/>
                          <w:jc w:val="center"/>
                          <w:rPr>
                            <w:rFonts w:eastAsia="Times New Roman"/>
                          </w:rPr>
                        </w:pPr>
                        <w:r>
                          <w:rPr>
                            <w:rFonts w:eastAsia="Times New Roman"/>
                          </w:rPr>
                          <w:lastRenderedPageBreak/>
                          <w:t>Pharmaceutical Services Negotiating Committee</w:t>
                        </w:r>
                      </w:p>
                      <w:p w14:paraId="79D6D80A" w14:textId="40D2ABFF" w:rsidR="003C6DCE" w:rsidRDefault="003C6DCE">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CF9ADF6" wp14:editId="4989A6D9">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1937A7A" wp14:editId="5200FC8A">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1CE786F" wp14:editId="4A45658E">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8EEF333" wp14:editId="20ABFACF">
                              <wp:extent cx="609600" cy="304800"/>
                              <wp:effectExtent l="0" t="0" r="0" b="0"/>
                              <wp:docPr id="2" name="Picture 2" descr="Graphical user interface&#10;&#10;Description automatically generated">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2" tgtFrame="_blank"/>
                                      </pic:cNvP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22AF5F6" w14:textId="77777777" w:rsidR="003C6DCE" w:rsidRDefault="003C6DCE">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C6DCE" w14:paraId="0A1E417F" w14:textId="77777777" w:rsidTr="003C6DCE">
                    <w:trPr>
                      <w:trHeight w:val="185"/>
                      <w:tblCellSpacing w:w="0" w:type="dxa"/>
                      <w:jc w:val="center"/>
                    </w:trPr>
                    <w:tc>
                      <w:tcPr>
                        <w:tcW w:w="9000" w:type="dxa"/>
                        <w:tcMar>
                          <w:top w:w="150" w:type="dxa"/>
                          <w:left w:w="0" w:type="dxa"/>
                          <w:bottom w:w="0" w:type="dxa"/>
                          <w:right w:w="0" w:type="dxa"/>
                        </w:tcMar>
                        <w:vAlign w:val="center"/>
                        <w:hideMark/>
                      </w:tcPr>
                      <w:p w14:paraId="54598A5F" w14:textId="70F08F39" w:rsidR="003C6DCE" w:rsidRDefault="003C6DCE" w:rsidP="003C6DCE">
                        <w:pPr>
                          <w:rPr>
                            <w:rFonts w:ascii="Arial" w:eastAsia="Times New Roman" w:hAnsi="Arial" w:cs="Arial"/>
                            <w:color w:val="FFFFFF"/>
                            <w:sz w:val="17"/>
                            <w:szCs w:val="17"/>
                          </w:rPr>
                        </w:pPr>
                      </w:p>
                    </w:tc>
                  </w:tr>
                </w:tbl>
                <w:p w14:paraId="45C35697" w14:textId="77777777" w:rsidR="003C6DCE" w:rsidRDefault="003C6DCE">
                  <w:pPr>
                    <w:jc w:val="center"/>
                    <w:rPr>
                      <w:rFonts w:ascii="Times New Roman" w:eastAsia="Times New Roman" w:hAnsi="Times New Roman" w:cs="Times New Roman"/>
                      <w:sz w:val="20"/>
                      <w:szCs w:val="20"/>
                    </w:rPr>
                  </w:pPr>
                </w:p>
              </w:tc>
            </w:tr>
          </w:tbl>
          <w:p w14:paraId="6156DE18" w14:textId="77777777" w:rsidR="003C6DCE" w:rsidRDefault="003C6DCE">
            <w:pPr>
              <w:jc w:val="center"/>
              <w:rPr>
                <w:rFonts w:ascii="Times New Roman" w:eastAsia="Times New Roman" w:hAnsi="Times New Roman" w:cs="Times New Roman"/>
                <w:sz w:val="20"/>
                <w:szCs w:val="20"/>
              </w:rPr>
            </w:pPr>
          </w:p>
        </w:tc>
      </w:tr>
    </w:tbl>
    <w:p w14:paraId="14A5DAA8" w14:textId="2297C0F6" w:rsidR="003C6DCE" w:rsidRDefault="003C6DCE" w:rsidP="003C6DCE">
      <w:pPr>
        <w:rPr>
          <w:rFonts w:eastAsia="Times New Roman"/>
        </w:rPr>
      </w:pPr>
      <w:r>
        <w:rPr>
          <w:rFonts w:eastAsia="Times New Roman"/>
          <w:noProof/>
        </w:rPr>
        <w:drawing>
          <wp:inline distT="0" distB="0" distL="0" distR="0" wp14:anchorId="51F499D5" wp14:editId="713F406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F73064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CE"/>
    <w:rsid w:val="003C6DC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CEC0"/>
  <w15:chartTrackingRefBased/>
  <w15:docId w15:val="{B4C3C96F-5C74-4385-A0FB-B71BBCA7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DCE"/>
    <w:rPr>
      <w:rFonts w:ascii="Calibri" w:hAnsi="Calibri" w:cs="Calibri"/>
      <w:lang w:eastAsia="en-GB"/>
    </w:rPr>
  </w:style>
  <w:style w:type="paragraph" w:styleId="Heading1">
    <w:name w:val="heading 1"/>
    <w:basedOn w:val="Normal"/>
    <w:link w:val="Heading1Char"/>
    <w:uiPriority w:val="9"/>
    <w:qFormat/>
    <w:rsid w:val="003C6DCE"/>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C6DCE"/>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3C6DCE"/>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DCE"/>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C6DCE"/>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3C6DCE"/>
    <w:rPr>
      <w:rFonts w:ascii="Tahoma" w:hAnsi="Tahoma" w:cs="Tahoma"/>
      <w:b/>
      <w:bCs/>
      <w:color w:val="FFFFFF"/>
      <w:sz w:val="18"/>
      <w:szCs w:val="18"/>
      <w:lang w:eastAsia="en-GB"/>
    </w:rPr>
  </w:style>
  <w:style w:type="paragraph" w:styleId="NormalWeb">
    <w:name w:val="Normal (Web)"/>
    <w:basedOn w:val="Normal"/>
    <w:uiPriority w:val="99"/>
    <w:semiHidden/>
    <w:unhideWhenUsed/>
    <w:rsid w:val="003C6DCE"/>
    <w:pPr>
      <w:spacing w:before="100" w:beforeAutospacing="1" w:after="100" w:afterAutospacing="1"/>
    </w:pPr>
  </w:style>
  <w:style w:type="character" w:styleId="Strong">
    <w:name w:val="Strong"/>
    <w:basedOn w:val="DefaultParagraphFont"/>
    <w:uiPriority w:val="22"/>
    <w:qFormat/>
    <w:rsid w:val="003C6DCE"/>
    <w:rPr>
      <w:b/>
      <w:bCs/>
    </w:rPr>
  </w:style>
  <w:style w:type="character" w:styleId="Hyperlink">
    <w:name w:val="Hyperlink"/>
    <w:basedOn w:val="DefaultParagraphFont"/>
    <w:uiPriority w:val="99"/>
    <w:semiHidden/>
    <w:unhideWhenUsed/>
    <w:rsid w:val="003C6D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5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a11fd194b8&amp;e=d19e9fd41c" TargetMode="External"/><Relationship Id="rId13" Type="http://schemas.openxmlformats.org/officeDocument/2006/relationships/hyperlink" Target="https://psnc.us7.list-manage.com/track/click?u=86d41ab7fa4c7c2c5d7210782&amp;id=604ed02a65&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bb507cec8c&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793cecab9f&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8cde5b7438&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814aa16f17&amp;e=d19e9fd41c" TargetMode="External"/><Relationship Id="rId19" Type="http://schemas.openxmlformats.org/officeDocument/2006/relationships/hyperlink" Target="https://psnc.us7.list-manage.com/track/click?u=86d41ab7fa4c7c2c5d7210782&amp;id=30cde8ec3f&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6cd31d2d31&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5c450003e3&amp;e=d19e9fd41c" TargetMode="External"/><Relationship Id="rId27" Type="http://schemas.openxmlformats.org/officeDocument/2006/relationships/image" Target="https://psnc.us7.list-manage.com/track/open.php?u=86d41ab7fa4c7c2c5d7210782&amp;id=ad223a7467&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2022-04-04T07:37:00Z</dcterms:created>
  <dcterms:modified xsi:type="dcterms:W3CDTF">2022-04-04T07:39:00Z</dcterms:modified>
</cp:coreProperties>
</file>