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60DBD" w14:paraId="4A253B45" w14:textId="77777777" w:rsidTr="00560DB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60DBD" w14:paraId="281869F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60DBD" w14:paraId="40820C62" w14:textId="77777777">
                    <w:trPr>
                      <w:tblCellSpacing w:w="0" w:type="dxa"/>
                      <w:jc w:val="center"/>
                    </w:trPr>
                    <w:tc>
                      <w:tcPr>
                        <w:tcW w:w="3000" w:type="dxa"/>
                        <w:hideMark/>
                      </w:tcPr>
                      <w:p w14:paraId="735289EC" w14:textId="4712161F" w:rsidR="00560DBD" w:rsidRDefault="00560DBD" w:rsidP="00560DBD">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821E9EF" w14:textId="77777777" w:rsidR="00560DBD" w:rsidRDefault="00560DBD" w:rsidP="00560DBD">
                  <w:pPr>
                    <w:spacing w:line="264" w:lineRule="auto"/>
                    <w:rPr>
                      <w:rFonts w:ascii="Times New Roman" w:eastAsia="Times New Roman" w:hAnsi="Times New Roman" w:cs="Times New Roman"/>
                      <w:sz w:val="20"/>
                      <w:szCs w:val="20"/>
                    </w:rPr>
                  </w:pPr>
                </w:p>
              </w:tc>
            </w:tr>
            <w:tr w:rsidR="00560DBD" w14:paraId="5051D63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60DBD" w14:paraId="43A3911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81CCAF9" w14:textId="724B851A" w:rsidR="00560DBD" w:rsidRDefault="00560DBD" w:rsidP="00560DBD">
                        <w:pPr>
                          <w:spacing w:line="264" w:lineRule="auto"/>
                          <w:jc w:val="center"/>
                          <w:rPr>
                            <w:rFonts w:eastAsia="Times New Roman"/>
                          </w:rPr>
                        </w:pPr>
                        <w:r>
                          <w:rPr>
                            <w:rFonts w:eastAsia="Times New Roman"/>
                            <w:noProof/>
                          </w:rPr>
                          <w:drawing>
                            <wp:inline distT="0" distB="0" distL="0" distR="0" wp14:anchorId="35F97424" wp14:editId="0C7EA9F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60DBD" w14:paraId="73B26622" w14:textId="77777777">
                    <w:trPr>
                      <w:tblCellSpacing w:w="0" w:type="dxa"/>
                    </w:trPr>
                    <w:tc>
                      <w:tcPr>
                        <w:tcW w:w="0" w:type="auto"/>
                        <w:vMerge/>
                        <w:tcBorders>
                          <w:top w:val="nil"/>
                          <w:left w:val="nil"/>
                          <w:bottom w:val="single" w:sz="2" w:space="0" w:color="FFFFFF"/>
                          <w:right w:val="nil"/>
                        </w:tcBorders>
                        <w:vAlign w:val="center"/>
                        <w:hideMark/>
                      </w:tcPr>
                      <w:p w14:paraId="75020900" w14:textId="77777777" w:rsidR="00560DBD" w:rsidRDefault="00560DBD" w:rsidP="00560DBD">
                        <w:pPr>
                          <w:spacing w:line="264" w:lineRule="auto"/>
                          <w:rPr>
                            <w:rFonts w:eastAsia="Times New Roman"/>
                          </w:rPr>
                        </w:pPr>
                      </w:p>
                    </w:tc>
                    <w:tc>
                      <w:tcPr>
                        <w:tcW w:w="3450" w:type="dxa"/>
                        <w:tcBorders>
                          <w:top w:val="nil"/>
                          <w:left w:val="nil"/>
                          <w:bottom w:val="nil"/>
                          <w:right w:val="nil"/>
                        </w:tcBorders>
                        <w:vAlign w:val="center"/>
                        <w:hideMark/>
                      </w:tcPr>
                      <w:p w14:paraId="6A20498C" w14:textId="77777777" w:rsidR="00560DBD" w:rsidRDefault="00560DBD" w:rsidP="00560DBD">
                        <w:pPr>
                          <w:pStyle w:val="Heading1"/>
                          <w:spacing w:after="0"/>
                          <w:rPr>
                            <w:rFonts w:eastAsia="Times New Roman"/>
                          </w:rPr>
                        </w:pPr>
                        <w:r>
                          <w:rPr>
                            <w:rFonts w:eastAsia="Times New Roman"/>
                          </w:rPr>
                          <w:t>PSNC Newsletter</w:t>
                        </w:r>
                      </w:p>
                    </w:tc>
                  </w:tr>
                  <w:tr w:rsidR="00560DBD" w14:paraId="64C1D5C1" w14:textId="77777777">
                    <w:trPr>
                      <w:tblCellSpacing w:w="0" w:type="dxa"/>
                    </w:trPr>
                    <w:tc>
                      <w:tcPr>
                        <w:tcW w:w="0" w:type="auto"/>
                        <w:vMerge/>
                        <w:tcBorders>
                          <w:top w:val="nil"/>
                          <w:left w:val="nil"/>
                          <w:bottom w:val="single" w:sz="2" w:space="0" w:color="FFFFFF"/>
                          <w:right w:val="nil"/>
                        </w:tcBorders>
                        <w:vAlign w:val="center"/>
                        <w:hideMark/>
                      </w:tcPr>
                      <w:p w14:paraId="1E05243C" w14:textId="77777777" w:rsidR="00560DBD" w:rsidRDefault="00560DBD" w:rsidP="00560DBD">
                        <w:pPr>
                          <w:spacing w:line="264" w:lineRule="auto"/>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64BCB44" w14:textId="77777777" w:rsidR="00560DBD" w:rsidRDefault="00560DBD" w:rsidP="00560DBD">
                        <w:pPr>
                          <w:pStyle w:val="Heading2"/>
                          <w:spacing w:after="0"/>
                          <w:rPr>
                            <w:rFonts w:eastAsia="Times New Roman"/>
                            <w:color w:val="93378A"/>
                          </w:rPr>
                        </w:pPr>
                        <w:r>
                          <w:rPr>
                            <w:rFonts w:eastAsia="Times New Roman"/>
                            <w:color w:val="93378A"/>
                          </w:rPr>
                          <w:t>Friday 25th March 2022</w:t>
                        </w:r>
                      </w:p>
                    </w:tc>
                  </w:tr>
                </w:tbl>
                <w:p w14:paraId="7B323616" w14:textId="77777777" w:rsidR="00560DBD" w:rsidRDefault="00560DBD" w:rsidP="00560DBD">
                  <w:pPr>
                    <w:spacing w:line="264" w:lineRule="auto"/>
                    <w:rPr>
                      <w:rFonts w:ascii="Times New Roman" w:eastAsia="Times New Roman" w:hAnsi="Times New Roman" w:cs="Times New Roman"/>
                      <w:sz w:val="20"/>
                      <w:szCs w:val="20"/>
                    </w:rPr>
                  </w:pPr>
                </w:p>
              </w:tc>
            </w:tr>
            <w:tr w:rsidR="00560DBD" w14:paraId="11E9E754" w14:textId="77777777">
              <w:tblPrEx>
                <w:shd w:val="clear" w:color="auto" w:fill="auto"/>
              </w:tblPrEx>
              <w:trPr>
                <w:tblCellSpacing w:w="0" w:type="dxa"/>
                <w:jc w:val="center"/>
              </w:trPr>
              <w:tc>
                <w:tcPr>
                  <w:tcW w:w="9000" w:type="dxa"/>
                  <w:hideMark/>
                </w:tcPr>
                <w:p w14:paraId="6E92D45D" w14:textId="1F03E235" w:rsidR="00560DBD" w:rsidRDefault="00560DBD" w:rsidP="00560DBD">
                  <w:pPr>
                    <w:spacing w:line="264" w:lineRule="auto"/>
                    <w:rPr>
                      <w:rFonts w:eastAsia="Times New Roman"/>
                    </w:rPr>
                  </w:pPr>
                  <w:r>
                    <w:rPr>
                      <w:rFonts w:eastAsia="Times New Roman"/>
                      <w:noProof/>
                    </w:rPr>
                    <w:drawing>
                      <wp:inline distT="0" distB="0" distL="0" distR="0" wp14:anchorId="3DE966D0" wp14:editId="1653918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60DBD" w14:paraId="3F4D8AE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560DBD" w14:paraId="3E09BE4B" w14:textId="77777777">
                    <w:trPr>
                      <w:trHeight w:val="150"/>
                      <w:tblCellSpacing w:w="15" w:type="dxa"/>
                      <w:jc w:val="center"/>
                    </w:trPr>
                    <w:tc>
                      <w:tcPr>
                        <w:tcW w:w="150" w:type="dxa"/>
                        <w:vAlign w:val="center"/>
                        <w:hideMark/>
                      </w:tcPr>
                      <w:p w14:paraId="555C3896" w14:textId="77777777" w:rsidR="00560DBD" w:rsidRDefault="00560DBD" w:rsidP="00560DBD">
                        <w:pPr>
                          <w:spacing w:line="264" w:lineRule="auto"/>
                          <w:rPr>
                            <w:rFonts w:eastAsia="Times New Roman"/>
                          </w:rPr>
                        </w:pPr>
                      </w:p>
                    </w:tc>
                    <w:tc>
                      <w:tcPr>
                        <w:tcW w:w="8700" w:type="dxa"/>
                        <w:vAlign w:val="center"/>
                        <w:hideMark/>
                      </w:tcPr>
                      <w:p w14:paraId="4DF3BFBD" w14:textId="77777777" w:rsidR="00560DBD" w:rsidRDefault="00560DBD" w:rsidP="00560DBD">
                        <w:pPr>
                          <w:spacing w:line="264" w:lineRule="auto"/>
                          <w:rPr>
                            <w:rFonts w:ascii="Times New Roman" w:eastAsia="Times New Roman" w:hAnsi="Times New Roman" w:cs="Times New Roman"/>
                            <w:sz w:val="20"/>
                            <w:szCs w:val="20"/>
                          </w:rPr>
                        </w:pPr>
                      </w:p>
                    </w:tc>
                    <w:tc>
                      <w:tcPr>
                        <w:tcW w:w="150" w:type="dxa"/>
                        <w:vAlign w:val="center"/>
                        <w:hideMark/>
                      </w:tcPr>
                      <w:p w14:paraId="1B0F890F" w14:textId="77777777" w:rsidR="00560DBD" w:rsidRDefault="00560DBD" w:rsidP="00560DBD">
                        <w:pPr>
                          <w:spacing w:line="264" w:lineRule="auto"/>
                          <w:rPr>
                            <w:rFonts w:ascii="Times New Roman" w:eastAsia="Times New Roman" w:hAnsi="Times New Roman" w:cs="Times New Roman"/>
                            <w:sz w:val="20"/>
                            <w:szCs w:val="20"/>
                          </w:rPr>
                        </w:pPr>
                      </w:p>
                    </w:tc>
                  </w:tr>
                  <w:tr w:rsidR="00560DBD" w14:paraId="20366FD2" w14:textId="77777777">
                    <w:trPr>
                      <w:tblCellSpacing w:w="15" w:type="dxa"/>
                      <w:jc w:val="center"/>
                    </w:trPr>
                    <w:tc>
                      <w:tcPr>
                        <w:tcW w:w="150" w:type="dxa"/>
                        <w:vAlign w:val="center"/>
                        <w:hideMark/>
                      </w:tcPr>
                      <w:p w14:paraId="16D625C8" w14:textId="77777777" w:rsidR="00560DBD" w:rsidRDefault="00560DBD" w:rsidP="00560DBD">
                        <w:pPr>
                          <w:spacing w:line="264" w:lineRule="auto"/>
                          <w:rPr>
                            <w:rFonts w:ascii="Times New Roman" w:eastAsia="Times New Roman" w:hAnsi="Times New Roman" w:cs="Times New Roman"/>
                            <w:sz w:val="20"/>
                            <w:szCs w:val="20"/>
                          </w:rPr>
                        </w:pPr>
                      </w:p>
                    </w:tc>
                    <w:tc>
                      <w:tcPr>
                        <w:tcW w:w="8700" w:type="dxa"/>
                        <w:vAlign w:val="center"/>
                        <w:hideMark/>
                      </w:tcPr>
                      <w:p w14:paraId="307417AA"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0BC9C76"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E1A1C52">
                            <v:rect id="_x0000_i1032" style="width:468pt;height:1.5pt" o:hrstd="t" o:hr="t" fillcolor="#a0a0a0" stroked="f"/>
                          </w:pict>
                        </w:r>
                      </w:p>
                      <w:p w14:paraId="0ECB548E" w14:textId="77777777" w:rsidR="00560DBD" w:rsidRDefault="00560DBD" w:rsidP="00560DBD">
                        <w:pPr>
                          <w:pStyle w:val="Heading2"/>
                          <w:spacing w:after="0"/>
                          <w:rPr>
                            <w:rFonts w:eastAsia="Times New Roman"/>
                          </w:rPr>
                        </w:pPr>
                        <w:r>
                          <w:rPr>
                            <w:rFonts w:eastAsia="Times New Roman"/>
                          </w:rPr>
                          <w:t xml:space="preserve">In this update: End of SoS emergency declaration; </w:t>
                        </w:r>
                        <w:proofErr w:type="spellStart"/>
                        <w:r>
                          <w:rPr>
                            <w:rFonts w:eastAsia="Times New Roman"/>
                          </w:rPr>
                          <w:t>GPhC</w:t>
                        </w:r>
                        <w:proofErr w:type="spellEnd"/>
                        <w:r>
                          <w:rPr>
                            <w:rFonts w:eastAsia="Times New Roman"/>
                          </w:rPr>
                          <w:t xml:space="preserve"> temporary register to close; Population Health Management Webinars; survey on HIV skills needs; NHSBSA Wakefield Processing Centre closure.</w:t>
                        </w:r>
                      </w:p>
                      <w:p w14:paraId="29777E77"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ABD38B4">
                            <v:rect id="_x0000_i1033" style="width:468pt;height:1.5pt" o:hrstd="t" o:hr="t" fillcolor="#a0a0a0" stroked="f"/>
                          </w:pict>
                        </w:r>
                      </w:p>
                      <w:p w14:paraId="683B5B84" w14:textId="77777777" w:rsidR="00560DBD" w:rsidRDefault="00560DBD" w:rsidP="00560DBD">
                        <w:pPr>
                          <w:pStyle w:val="Heading2"/>
                          <w:spacing w:after="0"/>
                          <w:rPr>
                            <w:rFonts w:eastAsia="Times New Roman"/>
                          </w:rPr>
                        </w:pPr>
                        <w:r>
                          <w:rPr>
                            <w:rFonts w:eastAsia="Times New Roman"/>
                          </w:rPr>
                          <w:t>End of Secretary of State emergency declaration</w:t>
                        </w:r>
                      </w:p>
                      <w:p w14:paraId="4832D150"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today confirmed that the Secretary of State emergency declaration allowing the flexible provision of pharmacy opening hours and closures under the NHS regulations (2013) will end on </w:t>
                        </w:r>
                        <w:r>
                          <w:rPr>
                            <w:rStyle w:val="Strong"/>
                            <w:rFonts w:ascii="Tahoma" w:eastAsia="Times New Roman" w:hAnsi="Tahoma" w:cs="Tahoma"/>
                            <w:color w:val="303030"/>
                            <w:sz w:val="21"/>
                            <w:szCs w:val="21"/>
                          </w:rPr>
                          <w:t>31st March 2022</w:t>
                        </w:r>
                        <w:r>
                          <w:rPr>
                            <w:rFonts w:ascii="Tahoma" w:eastAsia="Times New Roman" w:hAnsi="Tahoma" w:cs="Tahoma"/>
                            <w:color w:val="303030"/>
                            <w:sz w:val="21"/>
                            <w:szCs w:val="21"/>
                          </w:rPr>
                          <w:t xml:space="preserve">. </w:t>
                        </w:r>
                      </w:p>
                      <w:p w14:paraId="5C80282A" w14:textId="77777777" w:rsidR="00560DBD" w:rsidRDefault="00560DBD" w:rsidP="00560DBD">
                        <w:pPr>
                          <w:pStyle w:val="NormalWeb"/>
                          <w:spacing w:before="0" w:beforeAutospacing="0" w:after="0" w:afterAutospacing="0" w:line="264" w:lineRule="auto"/>
                          <w:rPr>
                            <w:rFonts w:ascii="Tahoma" w:hAnsi="Tahoma" w:cs="Tahoma"/>
                            <w:color w:val="303030"/>
                            <w:sz w:val="21"/>
                            <w:szCs w:val="21"/>
                          </w:rPr>
                        </w:pPr>
                      </w:p>
                      <w:p w14:paraId="6094B54A" w14:textId="6C7841C6" w:rsidR="00560DBD" w:rsidRDefault="00560DBD" w:rsidP="00560D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This decision follows representation from PSNC’s Regulations and Support Team for an extension to the emergency declaration. DHSC has indicated that should there be a further wave of the COVID-19 pandemic, a new declaration of emergency would be considered.</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43FBBFCF"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8350CBD">
                            <v:rect id="_x0000_i1034" style="width:468pt;height:1.5pt" o:hrstd="t" o:hr="t" fillcolor="#a0a0a0" stroked="f"/>
                          </w:pict>
                        </w:r>
                      </w:p>
                      <w:p w14:paraId="2BFA3F91" w14:textId="77777777" w:rsidR="00560DBD" w:rsidRDefault="00560DBD" w:rsidP="00560DBD">
                        <w:pPr>
                          <w:pStyle w:val="Heading2"/>
                          <w:spacing w:after="0"/>
                          <w:rPr>
                            <w:rFonts w:eastAsia="Times New Roman"/>
                          </w:rPr>
                        </w:pPr>
                        <w:proofErr w:type="spellStart"/>
                        <w:r>
                          <w:rPr>
                            <w:rFonts w:eastAsia="Times New Roman"/>
                          </w:rPr>
                          <w:t>GPhC</w:t>
                        </w:r>
                        <w:proofErr w:type="spellEnd"/>
                        <w:r>
                          <w:rPr>
                            <w:rFonts w:eastAsia="Times New Roman"/>
                          </w:rPr>
                          <w:t xml:space="preserve"> temporary register to close</w:t>
                        </w:r>
                      </w:p>
                      <w:p w14:paraId="3A656F93"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healthcare professions temporary registers, including that of the General Pharmaceutical Council (</w:t>
                        </w:r>
                        <w:proofErr w:type="spellStart"/>
                        <w:r>
                          <w:rPr>
                            <w:rFonts w:ascii="Tahoma" w:eastAsia="Times New Roman" w:hAnsi="Tahoma" w:cs="Tahoma"/>
                            <w:color w:val="303030"/>
                            <w:sz w:val="21"/>
                            <w:szCs w:val="21"/>
                          </w:rPr>
                          <w:t>GPhC</w:t>
                        </w:r>
                        <w:proofErr w:type="spellEnd"/>
                        <w:r>
                          <w:rPr>
                            <w:rFonts w:ascii="Tahoma" w:eastAsia="Times New Roman" w:hAnsi="Tahoma" w:cs="Tahoma"/>
                            <w:color w:val="303030"/>
                            <w:sz w:val="21"/>
                            <w:szCs w:val="21"/>
                          </w:rPr>
                          <w:t xml:space="preserve">), are set to close on </w:t>
                        </w:r>
                        <w:r>
                          <w:rPr>
                            <w:rStyle w:val="Strong"/>
                            <w:rFonts w:ascii="Tahoma" w:eastAsia="Times New Roman" w:hAnsi="Tahoma" w:cs="Tahoma"/>
                            <w:color w:val="303030"/>
                            <w:sz w:val="21"/>
                            <w:szCs w:val="21"/>
                          </w:rPr>
                          <w:t>30th September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w:t>
                        </w:r>
                        <w:proofErr w:type="spellStart"/>
                        <w:r>
                          <w:rPr>
                            <w:rFonts w:ascii="Tahoma" w:eastAsia="Times New Roman" w:hAnsi="Tahoma" w:cs="Tahoma"/>
                            <w:color w:val="303030"/>
                            <w:sz w:val="21"/>
                            <w:szCs w:val="21"/>
                          </w:rPr>
                          <w:t>GPhC</w:t>
                        </w:r>
                        <w:proofErr w:type="spellEnd"/>
                        <w:r>
                          <w:rPr>
                            <w:rFonts w:ascii="Tahoma" w:eastAsia="Times New Roman" w:hAnsi="Tahoma" w:cs="Tahoma"/>
                            <w:color w:val="303030"/>
                            <w:sz w:val="21"/>
                            <w:szCs w:val="21"/>
                          </w:rPr>
                          <w:t xml:space="preserve"> temporary registers were set up to rapidly register pharmacy professionals to assist in the national response to the COVID-19 emergency. However, any temporary registrants who wish to continue to practise as a pharmacist or pharmacy technician after 30th September will need to apply to re-join the main register.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 xml:space="preserve">Learn more about the closure of </w:t>
                          </w:r>
                          <w:proofErr w:type="spellStart"/>
                          <w:r>
                            <w:rPr>
                              <w:rStyle w:val="Hyperlink"/>
                              <w:rFonts w:ascii="Tahoma" w:eastAsia="Times New Roman" w:hAnsi="Tahoma" w:cs="Tahoma"/>
                              <w:b/>
                              <w:bCs/>
                              <w:color w:val="4E3487"/>
                              <w:sz w:val="21"/>
                              <w:szCs w:val="21"/>
                            </w:rPr>
                            <w:t>GPhC's</w:t>
                          </w:r>
                          <w:proofErr w:type="spellEnd"/>
                          <w:r>
                            <w:rPr>
                              <w:rStyle w:val="Hyperlink"/>
                              <w:rFonts w:ascii="Tahoma" w:eastAsia="Times New Roman" w:hAnsi="Tahoma" w:cs="Tahoma"/>
                              <w:b/>
                              <w:bCs/>
                              <w:color w:val="4E3487"/>
                              <w:sz w:val="21"/>
                              <w:szCs w:val="21"/>
                            </w:rPr>
                            <w:t xml:space="preserve"> temporary register</w:t>
                          </w:r>
                        </w:hyperlink>
                        <w:r>
                          <w:rPr>
                            <w:rFonts w:ascii="Tahoma" w:eastAsia="Times New Roman" w:hAnsi="Tahoma" w:cs="Tahoma"/>
                            <w:color w:val="303030"/>
                            <w:sz w:val="21"/>
                            <w:szCs w:val="21"/>
                          </w:rPr>
                          <w:t xml:space="preserve"> </w:t>
                        </w:r>
                      </w:p>
                      <w:p w14:paraId="60762255"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365CBE">
                            <v:rect id="_x0000_i1035" style="width:468pt;height:1.5pt" o:hrstd="t" o:hr="t" fillcolor="#a0a0a0" stroked="f"/>
                          </w:pict>
                        </w:r>
                      </w:p>
                      <w:p w14:paraId="2F0FFF1B" w14:textId="77777777" w:rsidR="00560DBD" w:rsidRDefault="00560DBD" w:rsidP="00560DBD">
                        <w:pPr>
                          <w:pStyle w:val="Heading2"/>
                          <w:spacing w:after="0"/>
                          <w:rPr>
                            <w:rFonts w:eastAsia="Times New Roman"/>
                          </w:rPr>
                        </w:pPr>
                        <w:r>
                          <w:rPr>
                            <w:rFonts w:eastAsia="Times New Roman"/>
                          </w:rPr>
                          <w:t>Population Health Management Webinars </w:t>
                        </w:r>
                      </w:p>
                      <w:p w14:paraId="13BA7BB0" w14:textId="67C6F88D"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Two Population Health Management Webinars are due to take place in the next few weeks, and both are open to all pharmacy professionals and form part of the Inclusive Pharmacy Practice programme. </w:t>
                        </w:r>
                      </w:p>
                      <w:p w14:paraId="573A23B2" w14:textId="77777777" w:rsidR="00560DBD" w:rsidRDefault="00560DBD" w:rsidP="00560DBD">
                        <w:pPr>
                          <w:spacing w:line="264" w:lineRule="auto"/>
                          <w:rPr>
                            <w:rFonts w:ascii="Tahoma" w:eastAsia="Times New Roman" w:hAnsi="Tahoma" w:cs="Tahoma"/>
                            <w:color w:val="303030"/>
                            <w:sz w:val="21"/>
                            <w:szCs w:val="21"/>
                          </w:rPr>
                        </w:pPr>
                      </w:p>
                      <w:p w14:paraId="7427D059" w14:textId="77777777" w:rsidR="00560DBD" w:rsidRDefault="00560DBD" w:rsidP="00560DB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These online events aim to improve understanding of population health management and health inequalities and have been scheduled as follows. </w:t>
                        </w:r>
                      </w:p>
                      <w:p w14:paraId="3670D620" w14:textId="77777777" w:rsidR="00560DBD" w:rsidRDefault="00560DBD" w:rsidP="00560DBD">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lastRenderedPageBreak/>
                          <w:t xml:space="preserve">Tuesday 5th </w:t>
                        </w:r>
                        <w:proofErr w:type="gramStart"/>
                        <w:r>
                          <w:rPr>
                            <w:rStyle w:val="Strong"/>
                            <w:rFonts w:ascii="Tahoma" w:eastAsia="Times New Roman" w:hAnsi="Tahoma" w:cs="Tahoma"/>
                            <w:color w:val="303030"/>
                            <w:sz w:val="21"/>
                            <w:szCs w:val="21"/>
                          </w:rPr>
                          <w:t>April,</w:t>
                        </w:r>
                        <w:proofErr w:type="gramEnd"/>
                        <w:r>
                          <w:rPr>
                            <w:rStyle w:val="Strong"/>
                            <w:rFonts w:ascii="Tahoma" w:eastAsia="Times New Roman" w:hAnsi="Tahoma" w:cs="Tahoma"/>
                            <w:color w:val="303030"/>
                            <w:sz w:val="21"/>
                            <w:szCs w:val="21"/>
                          </w:rPr>
                          <w:t xml:space="preserve"> 3-5pm</w:t>
                        </w:r>
                        <w:r>
                          <w:rPr>
                            <w:rFonts w:ascii="Tahoma" w:eastAsia="Times New Roman" w:hAnsi="Tahoma" w:cs="Tahoma"/>
                            <w:color w:val="303030"/>
                            <w:sz w:val="21"/>
                            <w:szCs w:val="21"/>
                          </w:rPr>
                          <w:t>: webinar aimed at Integrated Care System (ICS), Clinical Commissioning Group (CCG) and Primary Care Network (PCN) pharmacy colleagues. </w:t>
                        </w:r>
                      </w:p>
                      <w:p w14:paraId="21D363C4" w14:textId="4C05B3E4" w:rsidR="00560DBD" w:rsidRDefault="00560DBD" w:rsidP="00560DBD">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 xml:space="preserve">Tuesday 26th </w:t>
                        </w:r>
                        <w:proofErr w:type="gramStart"/>
                        <w:r>
                          <w:rPr>
                            <w:rStyle w:val="Strong"/>
                            <w:rFonts w:ascii="Tahoma" w:eastAsia="Times New Roman" w:hAnsi="Tahoma" w:cs="Tahoma"/>
                            <w:color w:val="303030"/>
                            <w:sz w:val="21"/>
                            <w:szCs w:val="21"/>
                          </w:rPr>
                          <w:t>April,</w:t>
                        </w:r>
                        <w:proofErr w:type="gramEnd"/>
                        <w:r>
                          <w:rPr>
                            <w:rStyle w:val="Strong"/>
                            <w:rFonts w:ascii="Tahoma" w:eastAsia="Times New Roman" w:hAnsi="Tahoma" w:cs="Tahoma"/>
                            <w:color w:val="303030"/>
                            <w:sz w:val="21"/>
                            <w:szCs w:val="21"/>
                          </w:rPr>
                          <w:t xml:space="preserve"> 7-9pm</w:t>
                        </w:r>
                        <w:r>
                          <w:rPr>
                            <w:rFonts w:ascii="Tahoma" w:eastAsia="Times New Roman" w:hAnsi="Tahoma" w:cs="Tahoma"/>
                            <w:color w:val="303030"/>
                            <w:sz w:val="21"/>
                            <w:szCs w:val="21"/>
                          </w:rPr>
                          <w:t>: webinar aimed at community pharmacy teams, with insight from senior leaders at Day Lewis Pharmacy and Green Light Pharmacy. </w:t>
                        </w:r>
                      </w:p>
                      <w:p w14:paraId="11D3072D" w14:textId="77777777" w:rsidR="00560DBD" w:rsidRDefault="00560DBD" w:rsidP="00560DBD">
                        <w:pPr>
                          <w:spacing w:line="264" w:lineRule="auto"/>
                          <w:ind w:left="720"/>
                          <w:rPr>
                            <w:rFonts w:ascii="Tahoma" w:eastAsia="Times New Roman" w:hAnsi="Tahoma" w:cs="Tahoma"/>
                            <w:color w:val="303030"/>
                            <w:sz w:val="21"/>
                            <w:szCs w:val="21"/>
                          </w:rPr>
                        </w:pPr>
                      </w:p>
                      <w:p w14:paraId="45A71D63" w14:textId="77777777" w:rsidR="00560DBD" w:rsidRDefault="00560DBD" w:rsidP="00560DBD">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Learn more</w:t>
                          </w:r>
                        </w:hyperlink>
                      </w:p>
                      <w:p w14:paraId="371F27DF"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90B3B3">
                            <v:rect id="_x0000_i1036" style="width:468pt;height:1.5pt" o:hrstd="t" o:hr="t" fillcolor="#a0a0a0" stroked="f"/>
                          </w:pict>
                        </w:r>
                      </w:p>
                      <w:p w14:paraId="414965BC" w14:textId="77777777" w:rsidR="00560DBD" w:rsidRDefault="00560DBD" w:rsidP="00560DBD">
                        <w:pPr>
                          <w:pStyle w:val="Heading2"/>
                          <w:spacing w:after="0"/>
                          <w:rPr>
                            <w:rFonts w:eastAsia="Times New Roman"/>
                          </w:rPr>
                        </w:pPr>
                        <w:r>
                          <w:rPr>
                            <w:rFonts w:eastAsia="Times New Roman"/>
                          </w:rPr>
                          <w:t>HIV capacity and skills development needs survey</w:t>
                        </w:r>
                      </w:p>
                      <w:p w14:paraId="37D0C154" w14:textId="4C8C9FC4"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HIV Prevention England has invited pharmacy teams to complete a survey that aims to determine which areas and topics to focus on within the scope of their capacity and skills development work. The survey should take less than 10 minutes to complete and closes on </w:t>
                        </w:r>
                        <w:r>
                          <w:rPr>
                            <w:rStyle w:val="Strong"/>
                            <w:rFonts w:ascii="Tahoma" w:eastAsia="Times New Roman" w:hAnsi="Tahoma" w:cs="Tahoma"/>
                            <w:color w:val="303030"/>
                            <w:sz w:val="21"/>
                            <w:szCs w:val="21"/>
                          </w:rPr>
                          <w:t>Monday 18th April 2022</w:t>
                        </w:r>
                        <w:r>
                          <w:rPr>
                            <w:rFonts w:ascii="Tahoma" w:eastAsia="Times New Roman" w:hAnsi="Tahoma" w:cs="Tahoma"/>
                            <w:color w:val="303030"/>
                            <w:sz w:val="21"/>
                            <w:szCs w:val="21"/>
                          </w:rPr>
                          <w:t xml:space="preserve">. </w:t>
                        </w:r>
                      </w:p>
                      <w:p w14:paraId="49DA052F" w14:textId="77777777" w:rsidR="00560DBD" w:rsidRDefault="00560DBD" w:rsidP="00560DBD">
                        <w:pPr>
                          <w:spacing w:line="264" w:lineRule="auto"/>
                          <w:rPr>
                            <w:rFonts w:ascii="Tahoma" w:eastAsia="Times New Roman" w:hAnsi="Tahoma" w:cs="Tahoma"/>
                            <w:color w:val="303030"/>
                            <w:sz w:val="21"/>
                            <w:szCs w:val="21"/>
                          </w:rPr>
                        </w:pPr>
                      </w:p>
                      <w:p w14:paraId="5E9579CC" w14:textId="77777777" w:rsidR="00560DBD" w:rsidRDefault="00560DBD" w:rsidP="00560DBD">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Complete the survey</w:t>
                          </w:r>
                        </w:hyperlink>
                      </w:p>
                      <w:p w14:paraId="276E6F7C"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4AA93B">
                            <v:rect id="_x0000_i1037" style="width:468pt;height:1.5pt" o:hrstd="t" o:hr="t" fillcolor="#a0a0a0" stroked="f"/>
                          </w:pict>
                        </w:r>
                      </w:p>
                      <w:p w14:paraId="52B7C2DC" w14:textId="77777777" w:rsidR="00560DBD" w:rsidRDefault="00560DBD" w:rsidP="00560DBD">
                        <w:pPr>
                          <w:pStyle w:val="Heading2"/>
                          <w:spacing w:after="0"/>
                          <w:rPr>
                            <w:rFonts w:eastAsia="Times New Roman"/>
                          </w:rPr>
                        </w:pPr>
                        <w:r>
                          <w:rPr>
                            <w:rFonts w:eastAsia="Times New Roman"/>
                          </w:rPr>
                          <w:t>Closure of NHSBSA Wakefield Processing Centre</w:t>
                        </w:r>
                      </w:p>
                      <w:p w14:paraId="6EBB5174" w14:textId="77777777" w:rsidR="00560DBD" w:rsidRDefault="00560DBD" w:rsidP="00560DB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Authority’s Wakefield Processing Centre is closing. From </w:t>
                        </w:r>
                        <w:r>
                          <w:rPr>
                            <w:rStyle w:val="Strong"/>
                            <w:rFonts w:ascii="Tahoma" w:eastAsia="Times New Roman" w:hAnsi="Tahoma" w:cs="Tahoma"/>
                            <w:color w:val="303030"/>
                            <w:sz w:val="21"/>
                            <w:szCs w:val="21"/>
                          </w:rPr>
                          <w:t>1st April 2022</w:t>
                        </w:r>
                        <w:r>
                          <w:rPr>
                            <w:rFonts w:ascii="Tahoma" w:eastAsia="Times New Roman" w:hAnsi="Tahoma" w:cs="Tahoma"/>
                            <w:color w:val="303030"/>
                            <w:sz w:val="21"/>
                            <w:szCs w:val="21"/>
                          </w:rPr>
                          <w:t> (for prescriptions dispensed in March 2022), community pharmacy contractors who normally send their end of month submission bundles there will now need to submit them to the new Newcastle office for processing.</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2330BFAF" w14:textId="77777777" w:rsidR="00560DBD" w:rsidRDefault="00560DBD" w:rsidP="00560DBD">
                        <w:pPr>
                          <w:spacing w:line="264" w:lineRule="auto"/>
                          <w:rPr>
                            <w:rFonts w:ascii="Tahoma" w:eastAsia="Times New Roman" w:hAnsi="Tahoma" w:cs="Tahoma"/>
                            <w:color w:val="303030"/>
                            <w:sz w:val="21"/>
                            <w:szCs w:val="21"/>
                          </w:rPr>
                        </w:pPr>
                      </w:p>
                    </w:tc>
                  </w:tr>
                  <w:tr w:rsidR="00560DBD" w14:paraId="016598C5" w14:textId="77777777">
                    <w:trPr>
                      <w:trHeight w:val="150"/>
                      <w:tblCellSpacing w:w="15" w:type="dxa"/>
                      <w:jc w:val="center"/>
                    </w:trPr>
                    <w:tc>
                      <w:tcPr>
                        <w:tcW w:w="150" w:type="dxa"/>
                        <w:vAlign w:val="center"/>
                        <w:hideMark/>
                      </w:tcPr>
                      <w:p w14:paraId="636C9D8F" w14:textId="77777777" w:rsidR="00560DBD" w:rsidRDefault="00560DBD" w:rsidP="00560DBD">
                        <w:pPr>
                          <w:spacing w:line="264" w:lineRule="auto"/>
                          <w:rPr>
                            <w:rFonts w:ascii="Times New Roman" w:eastAsia="Times New Roman" w:hAnsi="Times New Roman" w:cs="Times New Roman"/>
                            <w:sz w:val="20"/>
                            <w:szCs w:val="20"/>
                          </w:rPr>
                        </w:pPr>
                      </w:p>
                    </w:tc>
                    <w:tc>
                      <w:tcPr>
                        <w:tcW w:w="8700" w:type="dxa"/>
                        <w:vAlign w:val="center"/>
                        <w:hideMark/>
                      </w:tcPr>
                      <w:p w14:paraId="58E561B9" w14:textId="77777777" w:rsidR="00560DBD" w:rsidRDefault="00560DBD" w:rsidP="00560DBD">
                        <w:pPr>
                          <w:spacing w:line="264" w:lineRule="auto"/>
                          <w:rPr>
                            <w:rFonts w:ascii="Times New Roman" w:eastAsia="Times New Roman" w:hAnsi="Times New Roman" w:cs="Times New Roman"/>
                            <w:sz w:val="20"/>
                            <w:szCs w:val="20"/>
                          </w:rPr>
                        </w:pPr>
                      </w:p>
                    </w:tc>
                    <w:tc>
                      <w:tcPr>
                        <w:tcW w:w="150" w:type="dxa"/>
                        <w:vAlign w:val="center"/>
                        <w:hideMark/>
                      </w:tcPr>
                      <w:p w14:paraId="72E2C9D3" w14:textId="77777777" w:rsidR="00560DBD" w:rsidRDefault="00560DBD" w:rsidP="00560DBD">
                        <w:pPr>
                          <w:spacing w:line="264" w:lineRule="auto"/>
                          <w:rPr>
                            <w:rFonts w:ascii="Times New Roman" w:eastAsia="Times New Roman" w:hAnsi="Times New Roman" w:cs="Times New Roman"/>
                            <w:sz w:val="20"/>
                            <w:szCs w:val="20"/>
                          </w:rPr>
                        </w:pPr>
                      </w:p>
                    </w:tc>
                  </w:tr>
                </w:tbl>
                <w:p w14:paraId="31A26D72" w14:textId="77777777" w:rsidR="00560DBD" w:rsidRDefault="00560DBD" w:rsidP="00560DBD">
                  <w:pPr>
                    <w:spacing w:line="264" w:lineRule="auto"/>
                    <w:rPr>
                      <w:rFonts w:ascii="Times New Roman" w:eastAsia="Times New Roman" w:hAnsi="Times New Roman" w:cs="Times New Roman"/>
                      <w:sz w:val="20"/>
                      <w:szCs w:val="20"/>
                    </w:rPr>
                  </w:pPr>
                </w:p>
              </w:tc>
            </w:tr>
          </w:tbl>
          <w:p w14:paraId="1CD59E43" w14:textId="77777777" w:rsidR="00560DBD" w:rsidRDefault="00560DBD" w:rsidP="00560DBD">
            <w:pPr>
              <w:spacing w:line="264" w:lineRule="auto"/>
              <w:rPr>
                <w:rFonts w:ascii="Times New Roman" w:eastAsia="Times New Roman" w:hAnsi="Times New Roman" w:cs="Times New Roman"/>
                <w:sz w:val="20"/>
                <w:szCs w:val="20"/>
              </w:rPr>
            </w:pPr>
          </w:p>
        </w:tc>
      </w:tr>
      <w:tr w:rsidR="00560DBD" w14:paraId="1FBE318F" w14:textId="77777777" w:rsidTr="00560DBD">
        <w:trPr>
          <w:trHeight w:val="1512"/>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60DBD" w14:paraId="71DC999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60DBD" w14:paraId="2F56F5D3" w14:textId="77777777">
                    <w:trPr>
                      <w:tblCellSpacing w:w="0" w:type="dxa"/>
                      <w:jc w:val="center"/>
                    </w:trPr>
                    <w:tc>
                      <w:tcPr>
                        <w:tcW w:w="3000" w:type="dxa"/>
                        <w:tcMar>
                          <w:top w:w="30" w:type="dxa"/>
                          <w:left w:w="75" w:type="dxa"/>
                          <w:bottom w:w="30" w:type="dxa"/>
                          <w:right w:w="75" w:type="dxa"/>
                        </w:tcMar>
                        <w:hideMark/>
                      </w:tcPr>
                      <w:p w14:paraId="115F921F" w14:textId="77777777" w:rsidR="00560DBD" w:rsidRDefault="00560DBD" w:rsidP="00560DBD">
                        <w:pPr>
                          <w:pStyle w:val="Heading4"/>
                          <w:spacing w:after="0"/>
                          <w:jc w:val="center"/>
                          <w:rPr>
                            <w:rFonts w:eastAsia="Times New Roman"/>
                          </w:rPr>
                        </w:pPr>
                        <w:r>
                          <w:rPr>
                            <w:rFonts w:eastAsia="Times New Roman"/>
                          </w:rPr>
                          <w:lastRenderedPageBreak/>
                          <w:t>Pharmaceutical Services Negotiating Committee</w:t>
                        </w:r>
                      </w:p>
                      <w:p w14:paraId="1A7570C0" w14:textId="594B2EB3" w:rsidR="00560DBD" w:rsidRDefault="00560DBD" w:rsidP="00560DBD">
                        <w:pPr>
                          <w:spacing w:line="264" w:lineRule="auto"/>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B4AEFAF" wp14:editId="4222228A">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14D9EFB5" wp14:editId="2BADDBE1">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07CDC089" wp14:editId="24A247DC">
                              <wp:extent cx="609600" cy="304800"/>
                              <wp:effectExtent l="0" t="0" r="0" b="0"/>
                              <wp:docPr id="3" name="Picture 3"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b/>
                            <w:noProof/>
                            <w:color w:val="FFFFFF"/>
                            <w:sz w:val="18"/>
                            <w:szCs w:val="18"/>
                          </w:rPr>
                          <w:drawing>
                            <wp:inline distT="0" distB="0" distL="0" distR="0" wp14:anchorId="7B5FE9B5" wp14:editId="75A45194">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p>
                      <w:p w14:paraId="26734626" w14:textId="344B6C75" w:rsidR="00560DBD" w:rsidRDefault="00560DBD" w:rsidP="00560DBD">
                        <w:pPr>
                          <w:spacing w:line="264" w:lineRule="auto"/>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p>
                    </w:tc>
                  </w:tr>
                  <w:tr w:rsidR="00560DBD" w14:paraId="3A814800" w14:textId="77777777" w:rsidTr="00560DBD">
                    <w:trPr>
                      <w:trHeight w:val="177"/>
                      <w:tblCellSpacing w:w="0" w:type="dxa"/>
                      <w:jc w:val="center"/>
                    </w:trPr>
                    <w:tc>
                      <w:tcPr>
                        <w:tcW w:w="9000" w:type="dxa"/>
                        <w:tcMar>
                          <w:top w:w="150" w:type="dxa"/>
                          <w:left w:w="0" w:type="dxa"/>
                          <w:bottom w:w="0" w:type="dxa"/>
                          <w:right w:w="0" w:type="dxa"/>
                        </w:tcMar>
                        <w:vAlign w:val="center"/>
                        <w:hideMark/>
                      </w:tcPr>
                      <w:p w14:paraId="36216736" w14:textId="408507F9" w:rsidR="00560DBD" w:rsidRDefault="00560DBD" w:rsidP="00560DBD">
                        <w:pPr>
                          <w:spacing w:line="264" w:lineRule="auto"/>
                          <w:rPr>
                            <w:rFonts w:ascii="Arial" w:eastAsia="Times New Roman" w:hAnsi="Arial" w:cs="Arial"/>
                            <w:color w:val="FFFFFF"/>
                            <w:sz w:val="17"/>
                            <w:szCs w:val="17"/>
                          </w:rPr>
                        </w:pPr>
                      </w:p>
                    </w:tc>
                  </w:tr>
                </w:tbl>
                <w:p w14:paraId="0CB4097C" w14:textId="77777777" w:rsidR="00560DBD" w:rsidRDefault="00560DBD" w:rsidP="00560DBD">
                  <w:pPr>
                    <w:spacing w:line="264" w:lineRule="auto"/>
                    <w:rPr>
                      <w:rFonts w:ascii="Times New Roman" w:eastAsia="Times New Roman" w:hAnsi="Times New Roman" w:cs="Times New Roman"/>
                      <w:sz w:val="20"/>
                      <w:szCs w:val="20"/>
                    </w:rPr>
                  </w:pPr>
                </w:p>
              </w:tc>
            </w:tr>
          </w:tbl>
          <w:p w14:paraId="36FCEA88" w14:textId="77777777" w:rsidR="00560DBD" w:rsidRDefault="00560DBD" w:rsidP="00560DBD">
            <w:pPr>
              <w:spacing w:line="264" w:lineRule="auto"/>
              <w:rPr>
                <w:rFonts w:ascii="Times New Roman" w:eastAsia="Times New Roman" w:hAnsi="Times New Roman" w:cs="Times New Roman"/>
                <w:sz w:val="20"/>
                <w:szCs w:val="20"/>
              </w:rPr>
            </w:pPr>
          </w:p>
        </w:tc>
      </w:tr>
    </w:tbl>
    <w:p w14:paraId="5E7FFFBB" w14:textId="5C4026C4" w:rsidR="00560DBD" w:rsidRDefault="00560DBD" w:rsidP="00560DBD">
      <w:pPr>
        <w:rPr>
          <w:rFonts w:eastAsia="Times New Roman"/>
        </w:rPr>
      </w:pPr>
      <w:r>
        <w:rPr>
          <w:rFonts w:eastAsia="Times New Roman"/>
          <w:noProof/>
        </w:rPr>
        <w:drawing>
          <wp:inline distT="0" distB="0" distL="0" distR="0" wp14:anchorId="2995CFD3" wp14:editId="76F626E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93A55A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154A9"/>
    <w:multiLevelType w:val="multilevel"/>
    <w:tmpl w:val="18189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BD"/>
    <w:rsid w:val="00560DB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1B74"/>
  <w15:chartTrackingRefBased/>
  <w15:docId w15:val="{A2E0E9F3-CE95-4AFB-9C8E-8905B966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DBD"/>
    <w:rPr>
      <w:rFonts w:ascii="Calibri" w:hAnsi="Calibri" w:cs="Calibri"/>
      <w:lang w:eastAsia="en-GB"/>
    </w:rPr>
  </w:style>
  <w:style w:type="paragraph" w:styleId="Heading1">
    <w:name w:val="heading 1"/>
    <w:basedOn w:val="Normal"/>
    <w:link w:val="Heading1Char"/>
    <w:uiPriority w:val="9"/>
    <w:qFormat/>
    <w:rsid w:val="00560DB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60DBD"/>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560DB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DB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60DBD"/>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560DBD"/>
    <w:rPr>
      <w:rFonts w:ascii="Tahoma" w:hAnsi="Tahoma" w:cs="Tahoma"/>
      <w:b/>
      <w:bCs/>
      <w:color w:val="FFFFFF"/>
      <w:sz w:val="18"/>
      <w:szCs w:val="18"/>
      <w:lang w:eastAsia="en-GB"/>
    </w:rPr>
  </w:style>
  <w:style w:type="paragraph" w:styleId="NormalWeb">
    <w:name w:val="Normal (Web)"/>
    <w:basedOn w:val="Normal"/>
    <w:uiPriority w:val="99"/>
    <w:semiHidden/>
    <w:unhideWhenUsed/>
    <w:rsid w:val="00560DBD"/>
    <w:pPr>
      <w:spacing w:before="100" w:beforeAutospacing="1" w:after="100" w:afterAutospacing="1"/>
    </w:pPr>
  </w:style>
  <w:style w:type="character" w:styleId="Strong">
    <w:name w:val="Strong"/>
    <w:basedOn w:val="DefaultParagraphFont"/>
    <w:uiPriority w:val="22"/>
    <w:qFormat/>
    <w:rsid w:val="00560DBD"/>
    <w:rPr>
      <w:b/>
      <w:bCs/>
    </w:rPr>
  </w:style>
  <w:style w:type="character" w:styleId="Hyperlink">
    <w:name w:val="Hyperlink"/>
    <w:basedOn w:val="DefaultParagraphFont"/>
    <w:uiPriority w:val="99"/>
    <w:semiHidden/>
    <w:unhideWhenUsed/>
    <w:rsid w:val="00560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209ce1f5fd&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40848fe885&amp;e=d19e9fd41c" TargetMode="External"/><Relationship Id="rId17" Type="http://schemas.openxmlformats.org/officeDocument/2006/relationships/hyperlink" Target="https://psnc.us7.list-manage.com/track/click?u=86d41ab7fa4c7c2c5d7210782&amp;id=95c80a1695&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fbec9b78d0&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fd83ee9e25&amp;e=d19e9fd41c"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psnc.us7.list-manage.com/track/click?u=86d41ab7fa4c7c2c5d7210782&amp;id=20aca78f15&amp;e=d19e9fd41c" TargetMode="External"/><Relationship Id="rId28" Type="http://schemas.openxmlformats.org/officeDocument/2006/relationships/image" Target="https://psnc.us7.list-manage.com/track/open.php?u=86d41ab7fa4c7c2c5d7210782&amp;id=4b48c3fcfe&amp;e=d19e9fd41c" TargetMode="External"/><Relationship Id="rId10" Type="http://schemas.openxmlformats.org/officeDocument/2006/relationships/hyperlink" Target="https://psnc.us7.list-manage.com/track/click?u=86d41ab7fa4c7c2c5d7210782&amp;id=78b284f82c&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875251134c&amp;e=d19e9fd41c" TargetMode="External"/><Relationship Id="rId14" Type="http://schemas.openxmlformats.org/officeDocument/2006/relationships/hyperlink" Target="https://psnc.us7.list-manage.com/track/click?u=86d41ab7fa4c7c2c5d7210782&amp;id=594ab7051e&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2022-03-28T06:59:00Z</dcterms:created>
  <dcterms:modified xsi:type="dcterms:W3CDTF">2022-03-28T07:02:00Z</dcterms:modified>
</cp:coreProperties>
</file>