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3C42A2" w14:paraId="2F6B2019" w14:textId="77777777" w:rsidTr="003C42A2">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3C42A2" w14:paraId="16947E9B"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3C42A2" w14:paraId="68744B6B" w14:textId="77777777">
                    <w:trPr>
                      <w:tblCellSpacing w:w="0" w:type="dxa"/>
                      <w:jc w:val="center"/>
                    </w:trPr>
                    <w:tc>
                      <w:tcPr>
                        <w:tcW w:w="3000" w:type="dxa"/>
                        <w:hideMark/>
                      </w:tcPr>
                      <w:p w14:paraId="36A16389" w14:textId="633FF8B1" w:rsidR="003C42A2" w:rsidRDefault="003C42A2" w:rsidP="003C42A2">
                        <w:pPr>
                          <w:spacing w:line="264" w:lineRule="auto"/>
                          <w:rPr>
                            <w:rFonts w:ascii="Tahoma" w:eastAsia="Times New Roman" w:hAnsi="Tahoma" w:cs="Tahoma"/>
                            <w:color w:val="FFFFFF"/>
                            <w:sz w:val="17"/>
                            <w:szCs w:val="17"/>
                          </w:rPr>
                        </w:pPr>
                      </w:p>
                    </w:tc>
                  </w:tr>
                </w:tbl>
                <w:p w14:paraId="507E411B" w14:textId="77777777" w:rsidR="003C42A2" w:rsidRDefault="003C42A2" w:rsidP="003C42A2">
                  <w:pPr>
                    <w:spacing w:line="264" w:lineRule="auto"/>
                    <w:rPr>
                      <w:rFonts w:ascii="Times New Roman" w:eastAsia="Times New Roman" w:hAnsi="Times New Roman" w:cs="Times New Roman"/>
                      <w:sz w:val="20"/>
                      <w:szCs w:val="20"/>
                    </w:rPr>
                  </w:pPr>
                </w:p>
              </w:tc>
            </w:tr>
            <w:tr w:rsidR="003C42A2" w14:paraId="59AD2E75"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3C42A2" w14:paraId="11DE8DE5"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29E3591E" w14:textId="0142510E" w:rsidR="003C42A2" w:rsidRDefault="003C42A2" w:rsidP="003C42A2">
                        <w:pPr>
                          <w:spacing w:line="264" w:lineRule="auto"/>
                          <w:rPr>
                            <w:rFonts w:eastAsia="Times New Roman"/>
                          </w:rPr>
                        </w:pPr>
                        <w:r>
                          <w:rPr>
                            <w:rFonts w:eastAsia="Times New Roman"/>
                            <w:noProof/>
                          </w:rPr>
                          <w:drawing>
                            <wp:inline distT="0" distB="0" distL="0" distR="0" wp14:anchorId="0C427401" wp14:editId="307485EB">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3C42A2" w14:paraId="3C58221E" w14:textId="77777777">
                    <w:trPr>
                      <w:tblCellSpacing w:w="0" w:type="dxa"/>
                    </w:trPr>
                    <w:tc>
                      <w:tcPr>
                        <w:tcW w:w="0" w:type="auto"/>
                        <w:vMerge/>
                        <w:tcBorders>
                          <w:top w:val="nil"/>
                          <w:left w:val="nil"/>
                          <w:bottom w:val="single" w:sz="2" w:space="0" w:color="FFFFFF"/>
                          <w:right w:val="nil"/>
                        </w:tcBorders>
                        <w:vAlign w:val="center"/>
                        <w:hideMark/>
                      </w:tcPr>
                      <w:p w14:paraId="21F6544C" w14:textId="77777777" w:rsidR="003C42A2" w:rsidRDefault="003C42A2" w:rsidP="003C42A2">
                        <w:pPr>
                          <w:spacing w:line="264" w:lineRule="auto"/>
                          <w:rPr>
                            <w:rFonts w:eastAsia="Times New Roman"/>
                          </w:rPr>
                        </w:pPr>
                      </w:p>
                    </w:tc>
                    <w:tc>
                      <w:tcPr>
                        <w:tcW w:w="3450" w:type="dxa"/>
                        <w:tcBorders>
                          <w:top w:val="nil"/>
                          <w:left w:val="nil"/>
                          <w:bottom w:val="nil"/>
                          <w:right w:val="nil"/>
                        </w:tcBorders>
                        <w:vAlign w:val="center"/>
                        <w:hideMark/>
                      </w:tcPr>
                      <w:p w14:paraId="020CB3BE" w14:textId="77777777" w:rsidR="003C42A2" w:rsidRDefault="003C42A2" w:rsidP="003C42A2">
                        <w:pPr>
                          <w:pStyle w:val="Heading1"/>
                          <w:spacing w:after="0"/>
                          <w:rPr>
                            <w:rFonts w:eastAsia="Times New Roman"/>
                          </w:rPr>
                        </w:pPr>
                        <w:r>
                          <w:rPr>
                            <w:rFonts w:eastAsia="Times New Roman"/>
                          </w:rPr>
                          <w:t>PSNC Newsletter</w:t>
                        </w:r>
                      </w:p>
                    </w:tc>
                  </w:tr>
                  <w:tr w:rsidR="003C42A2" w14:paraId="64EC065A" w14:textId="77777777">
                    <w:trPr>
                      <w:tblCellSpacing w:w="0" w:type="dxa"/>
                    </w:trPr>
                    <w:tc>
                      <w:tcPr>
                        <w:tcW w:w="0" w:type="auto"/>
                        <w:vMerge/>
                        <w:tcBorders>
                          <w:top w:val="nil"/>
                          <w:left w:val="nil"/>
                          <w:bottom w:val="single" w:sz="2" w:space="0" w:color="FFFFFF"/>
                          <w:right w:val="nil"/>
                        </w:tcBorders>
                        <w:vAlign w:val="center"/>
                        <w:hideMark/>
                      </w:tcPr>
                      <w:p w14:paraId="1C21A52E" w14:textId="77777777" w:rsidR="003C42A2" w:rsidRDefault="003C42A2" w:rsidP="003C42A2">
                        <w:pPr>
                          <w:spacing w:line="264" w:lineRule="auto"/>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51CA9CBE" w14:textId="77777777" w:rsidR="003C42A2" w:rsidRDefault="003C42A2" w:rsidP="003C42A2">
                        <w:pPr>
                          <w:pStyle w:val="Heading2"/>
                          <w:spacing w:after="0"/>
                          <w:rPr>
                            <w:rFonts w:eastAsia="Times New Roman"/>
                            <w:color w:val="93378A"/>
                          </w:rPr>
                        </w:pPr>
                        <w:r>
                          <w:rPr>
                            <w:rFonts w:eastAsia="Times New Roman"/>
                            <w:color w:val="93378A"/>
                          </w:rPr>
                          <w:t>Wednesday 16th March 2022</w:t>
                        </w:r>
                      </w:p>
                    </w:tc>
                  </w:tr>
                </w:tbl>
                <w:p w14:paraId="4DBCA906" w14:textId="77777777" w:rsidR="003C42A2" w:rsidRDefault="003C42A2" w:rsidP="003C42A2">
                  <w:pPr>
                    <w:spacing w:line="264" w:lineRule="auto"/>
                    <w:rPr>
                      <w:rFonts w:ascii="Times New Roman" w:eastAsia="Times New Roman" w:hAnsi="Times New Roman" w:cs="Times New Roman"/>
                      <w:sz w:val="20"/>
                      <w:szCs w:val="20"/>
                    </w:rPr>
                  </w:pPr>
                </w:p>
              </w:tc>
            </w:tr>
            <w:tr w:rsidR="003C42A2" w14:paraId="117E6D07" w14:textId="77777777">
              <w:tblPrEx>
                <w:shd w:val="clear" w:color="auto" w:fill="auto"/>
              </w:tblPrEx>
              <w:trPr>
                <w:tblCellSpacing w:w="0" w:type="dxa"/>
                <w:jc w:val="center"/>
              </w:trPr>
              <w:tc>
                <w:tcPr>
                  <w:tcW w:w="9000" w:type="dxa"/>
                  <w:hideMark/>
                </w:tcPr>
                <w:p w14:paraId="63DC3231" w14:textId="68E35264" w:rsidR="003C42A2" w:rsidRDefault="003C42A2" w:rsidP="003C42A2">
                  <w:pPr>
                    <w:spacing w:line="264" w:lineRule="auto"/>
                    <w:rPr>
                      <w:rFonts w:eastAsia="Times New Roman"/>
                    </w:rPr>
                  </w:pPr>
                  <w:r>
                    <w:rPr>
                      <w:rFonts w:eastAsia="Times New Roman"/>
                      <w:noProof/>
                    </w:rPr>
                    <w:drawing>
                      <wp:inline distT="0" distB="0" distL="0" distR="0" wp14:anchorId="6C6912BE" wp14:editId="59E95EB6">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3C42A2" w14:paraId="0366E4CE"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6"/>
                    <w:gridCol w:w="192"/>
                  </w:tblGrid>
                  <w:tr w:rsidR="003C42A2" w14:paraId="679F4931" w14:textId="77777777">
                    <w:trPr>
                      <w:trHeight w:val="150"/>
                      <w:tblCellSpacing w:w="15" w:type="dxa"/>
                      <w:jc w:val="center"/>
                    </w:trPr>
                    <w:tc>
                      <w:tcPr>
                        <w:tcW w:w="150" w:type="dxa"/>
                        <w:vAlign w:val="center"/>
                        <w:hideMark/>
                      </w:tcPr>
                      <w:p w14:paraId="3A29563F" w14:textId="77777777" w:rsidR="003C42A2" w:rsidRDefault="003C42A2" w:rsidP="003C42A2">
                        <w:pPr>
                          <w:spacing w:line="264" w:lineRule="auto"/>
                          <w:rPr>
                            <w:rFonts w:eastAsia="Times New Roman"/>
                          </w:rPr>
                        </w:pPr>
                      </w:p>
                    </w:tc>
                    <w:tc>
                      <w:tcPr>
                        <w:tcW w:w="8700" w:type="dxa"/>
                        <w:vAlign w:val="center"/>
                        <w:hideMark/>
                      </w:tcPr>
                      <w:p w14:paraId="5EDE8B46" w14:textId="77777777" w:rsidR="003C42A2" w:rsidRDefault="003C42A2" w:rsidP="003C42A2">
                        <w:pPr>
                          <w:spacing w:line="264" w:lineRule="auto"/>
                          <w:rPr>
                            <w:rFonts w:ascii="Times New Roman" w:eastAsia="Times New Roman" w:hAnsi="Times New Roman" w:cs="Times New Roman"/>
                            <w:sz w:val="20"/>
                            <w:szCs w:val="20"/>
                          </w:rPr>
                        </w:pPr>
                      </w:p>
                    </w:tc>
                    <w:tc>
                      <w:tcPr>
                        <w:tcW w:w="150" w:type="dxa"/>
                        <w:vAlign w:val="center"/>
                        <w:hideMark/>
                      </w:tcPr>
                      <w:p w14:paraId="1A91D4D9" w14:textId="77777777" w:rsidR="003C42A2" w:rsidRDefault="003C42A2" w:rsidP="003C42A2">
                        <w:pPr>
                          <w:spacing w:line="264" w:lineRule="auto"/>
                          <w:rPr>
                            <w:rFonts w:ascii="Times New Roman" w:eastAsia="Times New Roman" w:hAnsi="Times New Roman" w:cs="Times New Roman"/>
                            <w:sz w:val="20"/>
                            <w:szCs w:val="20"/>
                          </w:rPr>
                        </w:pPr>
                      </w:p>
                    </w:tc>
                  </w:tr>
                  <w:tr w:rsidR="003C42A2" w14:paraId="63E6510F" w14:textId="77777777">
                    <w:trPr>
                      <w:tblCellSpacing w:w="15" w:type="dxa"/>
                      <w:jc w:val="center"/>
                    </w:trPr>
                    <w:tc>
                      <w:tcPr>
                        <w:tcW w:w="150" w:type="dxa"/>
                        <w:vAlign w:val="center"/>
                        <w:hideMark/>
                      </w:tcPr>
                      <w:p w14:paraId="64C7DE20" w14:textId="77777777" w:rsidR="003C42A2" w:rsidRDefault="003C42A2" w:rsidP="003C42A2">
                        <w:pPr>
                          <w:spacing w:line="264" w:lineRule="auto"/>
                          <w:rPr>
                            <w:rFonts w:ascii="Times New Roman" w:eastAsia="Times New Roman" w:hAnsi="Times New Roman" w:cs="Times New Roman"/>
                            <w:sz w:val="20"/>
                            <w:szCs w:val="20"/>
                          </w:rPr>
                        </w:pPr>
                      </w:p>
                    </w:tc>
                    <w:tc>
                      <w:tcPr>
                        <w:tcW w:w="8700" w:type="dxa"/>
                        <w:vAlign w:val="center"/>
                        <w:hideMark/>
                      </w:tcPr>
                      <w:p w14:paraId="62A15F18" w14:textId="77777777" w:rsidR="003C42A2" w:rsidRDefault="003C42A2" w:rsidP="003C42A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63CA0404" w14:textId="77777777" w:rsidR="003C42A2" w:rsidRDefault="003C42A2" w:rsidP="003C42A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600EEB3">
                            <v:rect id="_x0000_i1032" style="width:468pt;height:1.5pt" o:hrstd="t" o:hr="t" fillcolor="#a0a0a0" stroked="f"/>
                          </w:pict>
                        </w:r>
                      </w:p>
                      <w:p w14:paraId="580907A9" w14:textId="77777777" w:rsidR="003C42A2" w:rsidRDefault="003C42A2" w:rsidP="003C42A2">
                        <w:pPr>
                          <w:pStyle w:val="Heading2"/>
                          <w:spacing w:after="0"/>
                          <w:rPr>
                            <w:rFonts w:eastAsia="Times New Roman"/>
                          </w:rPr>
                        </w:pPr>
                        <w:r>
                          <w:rPr>
                            <w:rFonts w:eastAsia="Times New Roman"/>
                          </w:rPr>
                          <w:t xml:space="preserve">In this update: Reminder to update NHS website and DoS profiles; DHSC consultation published on hub and spoke dispensing; new SSP for </w:t>
                        </w:r>
                        <w:proofErr w:type="spellStart"/>
                        <w:r>
                          <w:rPr>
                            <w:rFonts w:eastAsia="Times New Roman"/>
                          </w:rPr>
                          <w:t>Salazopyrin</w:t>
                        </w:r>
                        <w:proofErr w:type="spellEnd"/>
                        <w:r>
                          <w:rPr>
                            <w:rFonts w:eastAsia="Times New Roman"/>
                          </w:rPr>
                          <w:t xml:space="preserve"> tablets.</w:t>
                        </w:r>
                      </w:p>
                      <w:p w14:paraId="6D77C20C" w14:textId="77777777" w:rsidR="003C42A2" w:rsidRDefault="003C42A2" w:rsidP="003C42A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CD1FD41">
                            <v:rect id="_x0000_i1033" style="width:468pt;height:1.5pt" o:hrstd="t" o:hr="t" fillcolor="#a0a0a0" stroked="f"/>
                          </w:pict>
                        </w:r>
                      </w:p>
                      <w:p w14:paraId="265C3687" w14:textId="77777777" w:rsidR="003C42A2" w:rsidRDefault="003C42A2" w:rsidP="003C42A2">
                        <w:pPr>
                          <w:pStyle w:val="Heading2"/>
                          <w:spacing w:after="0"/>
                          <w:rPr>
                            <w:rFonts w:eastAsia="Times New Roman"/>
                          </w:rPr>
                        </w:pPr>
                        <w:r>
                          <w:rPr>
                            <w:rFonts w:eastAsia="Times New Roman"/>
                          </w:rPr>
                          <w:t>Requirement to update NHS website and DoS profile by end of March 2022</w:t>
                        </w:r>
                      </w:p>
                      <w:p w14:paraId="3AA4AFBC" w14:textId="40B7A228" w:rsidR="003C42A2" w:rsidRDefault="003C42A2" w:rsidP="003C42A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Community pharmacy contractors are reminded of the Terms of Service requirement to ensure they verify and, where necessary, update the information contained in their NHS website profile </w:t>
                        </w:r>
                        <w:r>
                          <w:rPr>
                            <w:rStyle w:val="Strong"/>
                            <w:rFonts w:ascii="Tahoma" w:eastAsia="Times New Roman" w:hAnsi="Tahoma" w:cs="Tahoma"/>
                            <w:color w:val="303030"/>
                            <w:sz w:val="21"/>
                            <w:szCs w:val="21"/>
                          </w:rPr>
                          <w:t>and</w:t>
                        </w:r>
                        <w:r>
                          <w:rPr>
                            <w:rFonts w:ascii="Tahoma" w:eastAsia="Times New Roman" w:hAnsi="Tahoma" w:cs="Tahoma"/>
                            <w:color w:val="303030"/>
                            <w:sz w:val="21"/>
                            <w:szCs w:val="21"/>
                          </w:rPr>
                          <w:t> their Directory of Services (DoS) profile at least once each quarter of the financial year. For the current financial quarter, the deadline to complete this is </w:t>
                        </w:r>
                        <w:r>
                          <w:rPr>
                            <w:rStyle w:val="Strong"/>
                            <w:rFonts w:ascii="Tahoma" w:eastAsia="Times New Roman" w:hAnsi="Tahoma" w:cs="Tahoma"/>
                            <w:color w:val="303030"/>
                            <w:sz w:val="21"/>
                            <w:szCs w:val="21"/>
                          </w:rPr>
                          <w:t>31st March 2022</w:t>
                        </w:r>
                        <w:r>
                          <w:rPr>
                            <w:rFonts w:ascii="Tahoma" w:eastAsia="Times New Roman" w:hAnsi="Tahoma" w:cs="Tahoma"/>
                            <w:color w:val="303030"/>
                            <w:sz w:val="21"/>
                            <w:szCs w:val="21"/>
                          </w:rPr>
                          <w:t>. </w:t>
                        </w:r>
                        <w:r>
                          <w:rPr>
                            <w:rFonts w:ascii="Tahoma" w:eastAsia="Times New Roman" w:hAnsi="Tahoma" w:cs="Tahoma"/>
                            <w:color w:val="303030"/>
                            <w:sz w:val="21"/>
                            <w:szCs w:val="21"/>
                          </w:rPr>
                          <w:br/>
                        </w:r>
                        <w:r>
                          <w:rPr>
                            <w:rFonts w:ascii="Tahoma" w:eastAsia="Times New Roman" w:hAnsi="Tahoma" w:cs="Tahoma"/>
                            <w:color w:val="303030"/>
                            <w:sz w:val="21"/>
                            <w:szCs w:val="21"/>
                          </w:rPr>
                          <w:br/>
                          <w:t>There is also a requirement to ensure that a pharmacy’s NHS website profile and DoS profile include their opening hours on bank holidays. Since Easter falls in April this year, contractors may also consider updating this information now for Good Friday and Easter Sunday to ensure that this is available ahead of the Easter period</w:t>
                        </w:r>
                        <w:r>
                          <w:rPr>
                            <w:rFonts w:ascii="Tahoma" w:eastAsia="Times New Roman" w:hAnsi="Tahoma" w:cs="Tahoma"/>
                            <w:color w:val="303030"/>
                            <w:sz w:val="21"/>
                            <w:szCs w:val="21"/>
                          </w:rPr>
                          <w:t>.</w:t>
                        </w:r>
                      </w:p>
                      <w:p w14:paraId="5FD4C22E" w14:textId="77777777" w:rsidR="003C42A2" w:rsidRDefault="003C42A2" w:rsidP="003C42A2">
                        <w:pPr>
                          <w:spacing w:line="264" w:lineRule="auto"/>
                          <w:rPr>
                            <w:rFonts w:ascii="Tahoma" w:eastAsia="Times New Roman" w:hAnsi="Tahoma" w:cs="Tahoma"/>
                            <w:color w:val="303030"/>
                            <w:sz w:val="21"/>
                            <w:szCs w:val="21"/>
                          </w:rPr>
                        </w:pPr>
                      </w:p>
                      <w:p w14:paraId="5AF69F34" w14:textId="77777777" w:rsidR="003C42A2" w:rsidRDefault="003C42A2" w:rsidP="003C42A2">
                        <w:pPr>
                          <w:pStyle w:val="NormalWeb"/>
                          <w:spacing w:before="0" w:beforeAutospacing="0" w:after="0" w:afterAutospacing="0" w:line="264" w:lineRule="auto"/>
                          <w:rPr>
                            <w:rFonts w:ascii="Tahoma" w:hAnsi="Tahoma" w:cs="Tahoma"/>
                            <w:color w:val="303030"/>
                            <w:sz w:val="21"/>
                            <w:szCs w:val="21"/>
                          </w:rPr>
                        </w:pPr>
                        <w:hyperlink r:id="rId8" w:tgtFrame="_blank" w:history="1">
                          <w:r>
                            <w:rPr>
                              <w:rStyle w:val="Hyperlink"/>
                              <w:rFonts w:ascii="Tahoma" w:hAnsi="Tahoma" w:cs="Tahoma"/>
                              <w:b/>
                              <w:bCs/>
                              <w:color w:val="4E3487"/>
                              <w:sz w:val="21"/>
                              <w:szCs w:val="21"/>
                            </w:rPr>
                            <w:t>Find out more</w:t>
                          </w:r>
                        </w:hyperlink>
                      </w:p>
                      <w:p w14:paraId="42467AE9" w14:textId="77777777" w:rsidR="003C42A2" w:rsidRDefault="003C42A2" w:rsidP="003C42A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EED713E">
                            <v:rect id="_x0000_i1034" style="width:468pt;height:1.5pt" o:hrstd="t" o:hr="t" fillcolor="#a0a0a0" stroked="f"/>
                          </w:pict>
                        </w:r>
                      </w:p>
                      <w:p w14:paraId="24E62180" w14:textId="77777777" w:rsidR="003C42A2" w:rsidRDefault="003C42A2" w:rsidP="003C42A2">
                        <w:pPr>
                          <w:pStyle w:val="Heading2"/>
                          <w:spacing w:after="0"/>
                          <w:rPr>
                            <w:rFonts w:eastAsia="Times New Roman"/>
                          </w:rPr>
                        </w:pPr>
                        <w:r>
                          <w:rPr>
                            <w:rFonts w:eastAsia="Times New Roman"/>
                          </w:rPr>
                          <w:t>DHSC consultation on hub and spoke dispensing</w:t>
                        </w:r>
                      </w:p>
                      <w:p w14:paraId="2B9FF1B6" w14:textId="66928F30" w:rsidR="003C42A2" w:rsidRDefault="003C42A2" w:rsidP="003C42A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Department of Health and Social Care (DHSC) has today published its consultation on the proposals to enable all community pharmacies to access hub and spoke dispensing. The consultation is due to run for three months and will close on </w:t>
                        </w:r>
                        <w:r>
                          <w:rPr>
                            <w:rStyle w:val="Strong"/>
                            <w:rFonts w:ascii="Tahoma" w:eastAsia="Times New Roman" w:hAnsi="Tahoma" w:cs="Tahoma"/>
                            <w:color w:val="303030"/>
                            <w:sz w:val="21"/>
                            <w:szCs w:val="21"/>
                          </w:rPr>
                          <w:t>June 8th, 2022</w:t>
                        </w:r>
                        <w:r>
                          <w:rPr>
                            <w:rFonts w:ascii="Tahoma" w:eastAsia="Times New Roman" w:hAnsi="Tahoma" w:cs="Tahoma"/>
                            <w:color w:val="303030"/>
                            <w:sz w:val="21"/>
                            <w:szCs w:val="21"/>
                          </w:rPr>
                          <w:t>.</w:t>
                        </w:r>
                        <w:r>
                          <w:rPr>
                            <w:rFonts w:ascii="Tahoma" w:eastAsia="Times New Roman" w:hAnsi="Tahoma" w:cs="Tahoma"/>
                            <w:color w:val="303030"/>
                            <w:sz w:val="21"/>
                            <w:szCs w:val="21"/>
                          </w:rPr>
                          <w:br/>
                        </w:r>
                        <w:r>
                          <w:rPr>
                            <w:rFonts w:ascii="Tahoma" w:eastAsia="Times New Roman" w:hAnsi="Tahoma" w:cs="Tahoma"/>
                            <w:color w:val="303030"/>
                            <w:sz w:val="21"/>
                            <w:szCs w:val="21"/>
                          </w:rPr>
                          <w:br/>
                          <w:t>The consultation seeks the views of stakeholders operating within the community pharmacy sector on key areas, including patient safety, governance, transparency, and accountability, and includes proposals on two different models of hub and spoke dispensing. PSNC’s Regulation and Support Team will respond to this consultation in due course.</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9" w:tgtFrame="_blank" w:history="1">
                          <w:r>
                            <w:rPr>
                              <w:rStyle w:val="Hyperlink"/>
                              <w:rFonts w:ascii="Tahoma" w:eastAsia="Times New Roman" w:hAnsi="Tahoma" w:cs="Tahoma"/>
                              <w:b/>
                              <w:bCs/>
                              <w:color w:val="4E3487"/>
                              <w:sz w:val="21"/>
                              <w:szCs w:val="21"/>
                            </w:rPr>
                            <w:t>Learn more about the consultation</w:t>
                          </w:r>
                        </w:hyperlink>
                        <w:r>
                          <w:rPr>
                            <w:rFonts w:ascii="Tahoma" w:eastAsia="Times New Roman" w:hAnsi="Tahoma" w:cs="Tahoma"/>
                            <w:color w:val="303030"/>
                            <w:sz w:val="21"/>
                            <w:szCs w:val="21"/>
                          </w:rPr>
                          <w:t xml:space="preserve"> </w:t>
                        </w:r>
                      </w:p>
                      <w:p w14:paraId="32088E29" w14:textId="77777777" w:rsidR="003C42A2" w:rsidRDefault="003C42A2" w:rsidP="003C42A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61E2E11">
                            <v:rect id="_x0000_i1035" style="width:468pt;height:1.5pt" o:hrstd="t" o:hr="t" fillcolor="#a0a0a0" stroked="f"/>
                          </w:pict>
                        </w:r>
                      </w:p>
                      <w:p w14:paraId="0D4299D5" w14:textId="77777777" w:rsidR="003C42A2" w:rsidRDefault="003C42A2" w:rsidP="003C42A2">
                        <w:pPr>
                          <w:pStyle w:val="Heading2"/>
                          <w:spacing w:after="0"/>
                          <w:rPr>
                            <w:rFonts w:eastAsia="Times New Roman"/>
                          </w:rPr>
                        </w:pPr>
                        <w:r>
                          <w:rPr>
                            <w:rFonts w:eastAsia="Times New Roman"/>
                          </w:rPr>
                          <w:t>New SSP issued for </w:t>
                        </w:r>
                        <w:proofErr w:type="spellStart"/>
                        <w:r>
                          <w:rPr>
                            <w:rFonts w:eastAsia="Times New Roman"/>
                          </w:rPr>
                          <w:t>Salazopyrin</w:t>
                        </w:r>
                        <w:proofErr w:type="spellEnd"/>
                        <w:r>
                          <w:rPr>
                            <w:rFonts w:eastAsia="Times New Roman"/>
                          </w:rPr>
                          <w:t xml:space="preserve"> tablets</w:t>
                        </w:r>
                      </w:p>
                      <w:p w14:paraId="4F14392D" w14:textId="221A5098" w:rsidR="003C42A2" w:rsidRDefault="003C42A2" w:rsidP="003C42A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In response to significant ongoing disruption to the supply of </w:t>
                        </w:r>
                        <w:proofErr w:type="spellStart"/>
                        <w:r>
                          <w:rPr>
                            <w:rFonts w:ascii="Tahoma" w:eastAsia="Times New Roman" w:hAnsi="Tahoma" w:cs="Tahoma"/>
                            <w:color w:val="303030"/>
                            <w:sz w:val="21"/>
                            <w:szCs w:val="21"/>
                          </w:rPr>
                          <w:t>Salazopyrin</w:t>
                        </w:r>
                        <w:proofErr w:type="spellEnd"/>
                        <w:r>
                          <w:rPr>
                            <w:rFonts w:ascii="Tahoma" w:eastAsia="Times New Roman" w:hAnsi="Tahoma" w:cs="Tahoma"/>
                            <w:color w:val="303030"/>
                            <w:sz w:val="21"/>
                            <w:szCs w:val="21"/>
                          </w:rPr>
                          <w:t xml:space="preserve"> 500mg tablets, DHSC has issued a Serious Shortage Protocol (SSP), SSP018. Effective from today (16th March), SSP018 provides that for every </w:t>
                        </w:r>
                        <w:proofErr w:type="spellStart"/>
                        <w:r>
                          <w:rPr>
                            <w:rFonts w:ascii="Tahoma" w:eastAsia="Times New Roman" w:hAnsi="Tahoma" w:cs="Tahoma"/>
                            <w:color w:val="303030"/>
                            <w:sz w:val="21"/>
                            <w:szCs w:val="21"/>
                          </w:rPr>
                          <w:t>Salazopyrin</w:t>
                        </w:r>
                        <w:proofErr w:type="spellEnd"/>
                        <w:r>
                          <w:rPr>
                            <w:rFonts w:ascii="Tahoma" w:eastAsia="Times New Roman" w:hAnsi="Tahoma" w:cs="Tahoma"/>
                            <w:color w:val="303030"/>
                            <w:sz w:val="21"/>
                            <w:szCs w:val="21"/>
                          </w:rPr>
                          <w:t xml:space="preserve"> 500mg tablet originally prescribed, one </w:t>
                        </w:r>
                        <w:r>
                          <w:rPr>
                            <w:rFonts w:ascii="Tahoma" w:eastAsia="Times New Roman" w:hAnsi="Tahoma" w:cs="Tahoma"/>
                            <w:color w:val="303030"/>
                            <w:sz w:val="21"/>
                            <w:szCs w:val="21"/>
                          </w:rPr>
                          <w:lastRenderedPageBreak/>
                          <w:t>Sulfasalazine 500mg tablet must be supplied.</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0" w:tgtFrame="_blank" w:history="1">
                          <w:r>
                            <w:rPr>
                              <w:rStyle w:val="Hyperlink"/>
                              <w:rFonts w:ascii="Tahoma" w:eastAsia="Times New Roman" w:hAnsi="Tahoma" w:cs="Tahoma"/>
                              <w:b/>
                              <w:bCs/>
                              <w:color w:val="4E3487"/>
                              <w:sz w:val="21"/>
                              <w:szCs w:val="21"/>
                            </w:rPr>
                            <w:t>Read more about SSP018 </w:t>
                          </w:r>
                        </w:hyperlink>
                      </w:p>
                    </w:tc>
                    <w:tc>
                      <w:tcPr>
                        <w:tcW w:w="150" w:type="dxa"/>
                        <w:vAlign w:val="center"/>
                        <w:hideMark/>
                      </w:tcPr>
                      <w:p w14:paraId="55E2410C" w14:textId="77777777" w:rsidR="003C42A2" w:rsidRDefault="003C42A2" w:rsidP="003C42A2">
                        <w:pPr>
                          <w:spacing w:line="264" w:lineRule="auto"/>
                          <w:rPr>
                            <w:rFonts w:ascii="Tahoma" w:eastAsia="Times New Roman" w:hAnsi="Tahoma" w:cs="Tahoma"/>
                            <w:color w:val="303030"/>
                            <w:sz w:val="21"/>
                            <w:szCs w:val="21"/>
                          </w:rPr>
                        </w:pPr>
                      </w:p>
                    </w:tc>
                  </w:tr>
                  <w:tr w:rsidR="003C42A2" w14:paraId="66765399" w14:textId="77777777">
                    <w:trPr>
                      <w:trHeight w:val="150"/>
                      <w:tblCellSpacing w:w="15" w:type="dxa"/>
                      <w:jc w:val="center"/>
                    </w:trPr>
                    <w:tc>
                      <w:tcPr>
                        <w:tcW w:w="150" w:type="dxa"/>
                        <w:vAlign w:val="center"/>
                        <w:hideMark/>
                      </w:tcPr>
                      <w:p w14:paraId="15C09547" w14:textId="77777777" w:rsidR="003C42A2" w:rsidRDefault="003C42A2" w:rsidP="003C42A2">
                        <w:pPr>
                          <w:spacing w:line="264" w:lineRule="auto"/>
                          <w:rPr>
                            <w:rFonts w:ascii="Times New Roman" w:eastAsia="Times New Roman" w:hAnsi="Times New Roman" w:cs="Times New Roman"/>
                            <w:sz w:val="20"/>
                            <w:szCs w:val="20"/>
                          </w:rPr>
                        </w:pPr>
                      </w:p>
                    </w:tc>
                    <w:tc>
                      <w:tcPr>
                        <w:tcW w:w="8700" w:type="dxa"/>
                        <w:vAlign w:val="center"/>
                        <w:hideMark/>
                      </w:tcPr>
                      <w:p w14:paraId="182B7CB1" w14:textId="77777777" w:rsidR="003C42A2" w:rsidRDefault="003C42A2" w:rsidP="003C42A2">
                        <w:pPr>
                          <w:spacing w:line="264" w:lineRule="auto"/>
                          <w:rPr>
                            <w:rFonts w:ascii="Times New Roman" w:eastAsia="Times New Roman" w:hAnsi="Times New Roman" w:cs="Times New Roman"/>
                            <w:sz w:val="20"/>
                            <w:szCs w:val="20"/>
                          </w:rPr>
                        </w:pPr>
                      </w:p>
                    </w:tc>
                    <w:tc>
                      <w:tcPr>
                        <w:tcW w:w="150" w:type="dxa"/>
                        <w:vAlign w:val="center"/>
                        <w:hideMark/>
                      </w:tcPr>
                      <w:p w14:paraId="575B591B" w14:textId="77777777" w:rsidR="003C42A2" w:rsidRDefault="003C42A2" w:rsidP="003C42A2">
                        <w:pPr>
                          <w:spacing w:line="264" w:lineRule="auto"/>
                          <w:rPr>
                            <w:rFonts w:ascii="Times New Roman" w:eastAsia="Times New Roman" w:hAnsi="Times New Roman" w:cs="Times New Roman"/>
                            <w:sz w:val="20"/>
                            <w:szCs w:val="20"/>
                          </w:rPr>
                        </w:pPr>
                      </w:p>
                    </w:tc>
                  </w:tr>
                </w:tbl>
                <w:p w14:paraId="6471F8E9" w14:textId="77777777" w:rsidR="003C42A2" w:rsidRDefault="003C42A2" w:rsidP="003C42A2">
                  <w:pPr>
                    <w:spacing w:line="264" w:lineRule="auto"/>
                    <w:rPr>
                      <w:rFonts w:ascii="Times New Roman" w:eastAsia="Times New Roman" w:hAnsi="Times New Roman" w:cs="Times New Roman"/>
                      <w:sz w:val="20"/>
                      <w:szCs w:val="20"/>
                    </w:rPr>
                  </w:pPr>
                </w:p>
              </w:tc>
            </w:tr>
          </w:tbl>
          <w:p w14:paraId="1D64645E" w14:textId="77777777" w:rsidR="003C42A2" w:rsidRDefault="003C42A2" w:rsidP="003C42A2">
            <w:pPr>
              <w:spacing w:line="264" w:lineRule="auto"/>
              <w:rPr>
                <w:rFonts w:ascii="Times New Roman" w:eastAsia="Times New Roman" w:hAnsi="Times New Roman" w:cs="Times New Roman"/>
                <w:sz w:val="20"/>
                <w:szCs w:val="20"/>
              </w:rPr>
            </w:pPr>
          </w:p>
        </w:tc>
      </w:tr>
      <w:tr w:rsidR="003C42A2" w14:paraId="014FCABE" w14:textId="77777777" w:rsidTr="003C42A2">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3C42A2" w14:paraId="72010560"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3C42A2" w14:paraId="4E6EA180" w14:textId="77777777" w:rsidTr="003C42A2">
                    <w:trPr>
                      <w:tblCellSpacing w:w="0" w:type="dxa"/>
                      <w:jc w:val="center"/>
                    </w:trPr>
                    <w:tc>
                      <w:tcPr>
                        <w:tcW w:w="9000" w:type="dxa"/>
                        <w:tcMar>
                          <w:top w:w="30" w:type="dxa"/>
                          <w:left w:w="75" w:type="dxa"/>
                          <w:bottom w:w="30" w:type="dxa"/>
                          <w:right w:w="75" w:type="dxa"/>
                        </w:tcMar>
                        <w:hideMark/>
                      </w:tcPr>
                      <w:p w14:paraId="3BBB3088" w14:textId="77777777" w:rsidR="003C42A2" w:rsidRDefault="003C42A2">
                        <w:pPr>
                          <w:pStyle w:val="Heading4"/>
                          <w:jc w:val="center"/>
                          <w:rPr>
                            <w:rFonts w:eastAsia="Times New Roman"/>
                          </w:rPr>
                        </w:pPr>
                        <w:r>
                          <w:rPr>
                            <w:rFonts w:eastAsia="Times New Roman"/>
                          </w:rPr>
                          <w:lastRenderedPageBreak/>
                          <w:t>Pharmaceutical Services Negotiating Committee</w:t>
                        </w:r>
                      </w:p>
                      <w:p w14:paraId="174195E5" w14:textId="26D3C9BC" w:rsidR="003C42A2" w:rsidRDefault="003C42A2">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5EDA1425" wp14:editId="6B4A9219">
                              <wp:extent cx="609600" cy="304800"/>
                              <wp:effectExtent l="0" t="0" r="0" b="0"/>
                              <wp:docPr id="5" name="Picture 5">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F43C4B4" wp14:editId="2440EB36">
                              <wp:extent cx="609600" cy="304800"/>
                              <wp:effectExtent l="0" t="0" r="0" b="0"/>
                              <wp:docPr id="4" name="Picture 4">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5DE117F" wp14:editId="2BC2DEFE">
                              <wp:extent cx="609600" cy="304800"/>
                              <wp:effectExtent l="0" t="0" r="0" b="0"/>
                              <wp:docPr id="3" name="Picture 3">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03520264" wp14:editId="79CD6B3E">
                              <wp:extent cx="609600" cy="304800"/>
                              <wp:effectExtent l="0" t="0" r="0" b="0"/>
                              <wp:docPr id="2" name="Picture 2" descr="Graphical user interface&#10;&#10;Description automatically generated">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a:hlinkClick r:id="rId20" tgtFrame="_blank"/>
                                      </pic:cNvPr>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4A20266B" w14:textId="77777777" w:rsidR="003C42A2" w:rsidRDefault="003C42A2">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3"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bl>
                <w:p w14:paraId="68E345FE" w14:textId="77777777" w:rsidR="003C42A2" w:rsidRDefault="003C42A2">
                  <w:pPr>
                    <w:jc w:val="center"/>
                    <w:rPr>
                      <w:rFonts w:ascii="Times New Roman" w:eastAsia="Times New Roman" w:hAnsi="Times New Roman" w:cs="Times New Roman"/>
                      <w:sz w:val="20"/>
                      <w:szCs w:val="20"/>
                    </w:rPr>
                  </w:pPr>
                </w:p>
              </w:tc>
            </w:tr>
          </w:tbl>
          <w:p w14:paraId="2C38277E" w14:textId="77777777" w:rsidR="003C42A2" w:rsidRDefault="003C42A2">
            <w:pPr>
              <w:jc w:val="center"/>
              <w:rPr>
                <w:rFonts w:ascii="Times New Roman" w:eastAsia="Times New Roman" w:hAnsi="Times New Roman" w:cs="Times New Roman"/>
                <w:sz w:val="20"/>
                <w:szCs w:val="20"/>
              </w:rPr>
            </w:pPr>
          </w:p>
        </w:tc>
      </w:tr>
    </w:tbl>
    <w:p w14:paraId="6D2196D0" w14:textId="48A4334A" w:rsidR="003C42A2" w:rsidRDefault="003C42A2" w:rsidP="003C42A2">
      <w:pPr>
        <w:rPr>
          <w:rFonts w:eastAsia="Times New Roman"/>
        </w:rPr>
      </w:pPr>
      <w:r>
        <w:rPr>
          <w:rFonts w:eastAsia="Times New Roman"/>
          <w:noProof/>
        </w:rPr>
        <w:drawing>
          <wp:inline distT="0" distB="0" distL="0" distR="0" wp14:anchorId="7C327437" wp14:editId="6D6EA45B">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9D9420A"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2A2"/>
    <w:rsid w:val="003C42A2"/>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CCABE"/>
  <w15:chartTrackingRefBased/>
  <w15:docId w15:val="{2987CBE9-8B4C-4F68-8FC4-4C75A4658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2A2"/>
    <w:rPr>
      <w:rFonts w:ascii="Calibri" w:hAnsi="Calibri" w:cs="Calibri"/>
      <w:lang w:eastAsia="en-GB"/>
    </w:rPr>
  </w:style>
  <w:style w:type="paragraph" w:styleId="Heading1">
    <w:name w:val="heading 1"/>
    <w:basedOn w:val="Normal"/>
    <w:link w:val="Heading1Char"/>
    <w:uiPriority w:val="9"/>
    <w:qFormat/>
    <w:rsid w:val="003C42A2"/>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unhideWhenUsed/>
    <w:qFormat/>
    <w:rsid w:val="003C42A2"/>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3C42A2"/>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2A2"/>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rsid w:val="003C42A2"/>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3C42A2"/>
    <w:rPr>
      <w:rFonts w:ascii="Tahoma" w:hAnsi="Tahoma" w:cs="Tahoma"/>
      <w:b/>
      <w:bCs/>
      <w:color w:val="FFFFFF"/>
      <w:sz w:val="18"/>
      <w:szCs w:val="18"/>
      <w:lang w:eastAsia="en-GB"/>
    </w:rPr>
  </w:style>
  <w:style w:type="paragraph" w:styleId="NormalWeb">
    <w:name w:val="Normal (Web)"/>
    <w:basedOn w:val="Normal"/>
    <w:uiPriority w:val="99"/>
    <w:semiHidden/>
    <w:unhideWhenUsed/>
    <w:rsid w:val="003C42A2"/>
    <w:pPr>
      <w:spacing w:before="100" w:beforeAutospacing="1" w:after="100" w:afterAutospacing="1"/>
    </w:pPr>
  </w:style>
  <w:style w:type="character" w:styleId="Strong">
    <w:name w:val="Strong"/>
    <w:basedOn w:val="DefaultParagraphFont"/>
    <w:uiPriority w:val="22"/>
    <w:qFormat/>
    <w:rsid w:val="003C42A2"/>
    <w:rPr>
      <w:b/>
      <w:bCs/>
    </w:rPr>
  </w:style>
  <w:style w:type="character" w:styleId="Hyperlink">
    <w:name w:val="Hyperlink"/>
    <w:basedOn w:val="DefaultParagraphFont"/>
    <w:uiPriority w:val="99"/>
    <w:semiHidden/>
    <w:unhideWhenUsed/>
    <w:rsid w:val="003C42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38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2a811625ba&amp;e=d19e9fd41c" TargetMode="External"/><Relationship Id="rId13" Type="http://schemas.openxmlformats.org/officeDocument/2006/relationships/image" Target="https://gallery.mailchimp.com/86d41ab7fa4c7c2c5d7210782/images/5acd9cf1-bdba-4039-b74f-638b444ff5d8.png" TargetMode="Externa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6.png"/><Relationship Id="rId7" Type="http://schemas.openxmlformats.org/officeDocument/2006/relationships/image" Target="http://psnc.org.uk/wp-content/uploads/2013/11/Newsletter-style-bar.png" TargetMode="External"/><Relationship Id="rId12" Type="http://schemas.openxmlformats.org/officeDocument/2006/relationships/image" Target="media/image3.png"/><Relationship Id="rId17" Type="http://schemas.openxmlformats.org/officeDocument/2006/relationships/hyperlink" Target="https://psnc.us7.list-manage.com/track/click?u=86d41ab7fa4c7c2c5d7210782&amp;id=d71e6ef40a&amp;e=d19e9fd41c" TargetMode="External"/><Relationship Id="rId25" Type="http://schemas.openxmlformats.org/officeDocument/2006/relationships/image" Target="https://psnc.us7.list-manage.com/track/open.php?u=86d41ab7fa4c7c2c5d7210782&amp;id=4c275eecc5&amp;e=d19e9fd41c" TargetMode="External"/><Relationship Id="rId2" Type="http://schemas.openxmlformats.org/officeDocument/2006/relationships/settings" Target="settings.xml"/><Relationship Id="rId16" Type="http://schemas.openxmlformats.org/officeDocument/2006/relationships/image" Target="https://gallery.mailchimp.com/86d41ab7fa4c7c2c5d7210782/images/e1475f6b-1081-4509-ab25-9cd7f83d26b2.png" TargetMode="External"/><Relationship Id="rId20" Type="http://schemas.openxmlformats.org/officeDocument/2006/relationships/hyperlink" Target="https://psnc.us7.list-manage.com/track/click?u=86d41ab7fa4c7c2c5d7210782&amp;id=7e976dc55b&amp;e=d19e9fd41c"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f66f3dbd88&amp;e=d19e9fd41c" TargetMode="External"/><Relationship Id="rId24" Type="http://schemas.openxmlformats.org/officeDocument/2006/relationships/image" Target="media/image7.gif"/><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media/image4.png"/><Relationship Id="rId23" Type="http://schemas.openxmlformats.org/officeDocument/2006/relationships/hyperlink" Target="mailto:info@psnc.org.uk" TargetMode="External"/><Relationship Id="rId10" Type="http://schemas.openxmlformats.org/officeDocument/2006/relationships/hyperlink" Target="https://psnc.us7.list-manage.com/track/click?u=86d41ab7fa4c7c2c5d7210782&amp;id=d4f52a7c48&amp;e=d19e9fd41c" TargetMode="External"/><Relationship Id="rId19" Type="http://schemas.openxmlformats.org/officeDocument/2006/relationships/image" Target="https://gallery.mailchimp.com/86d41ab7fa4c7c2c5d7210782/images/cd088afd-0ac0-4498-8ed1-e4199bf882ce.png"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ae2827e1a5&amp;e=d19e9fd41c" TargetMode="External"/><Relationship Id="rId14" Type="http://schemas.openxmlformats.org/officeDocument/2006/relationships/hyperlink" Target="https://psnc.us7.list-manage.com/track/click?u=86d41ab7fa4c7c2c5d7210782&amp;id=03085b117d&amp;e=d19e9fd41c" TargetMode="External"/><Relationship Id="rId22" Type="http://schemas.openxmlformats.org/officeDocument/2006/relationships/image" Target="https://gallery.mailchimp.com/86d41ab7fa4c7c2c5d7210782/images/f5c0845f-f39c-425d-8d3c-deff11493c50.pn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420</Words>
  <Characters>2395</Characters>
  <Application>Microsoft Office Word</Application>
  <DocSecurity>0</DocSecurity>
  <Lines>19</Lines>
  <Paragraphs>5</Paragraphs>
  <ScaleCrop>false</ScaleCrop>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2022-03-17T08:34:00Z</dcterms:created>
  <dcterms:modified xsi:type="dcterms:W3CDTF">2022-03-17T08:35:00Z</dcterms:modified>
</cp:coreProperties>
</file>