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jc w:val="center"/>
        <w:tblCellSpacing w:w="0" w:type="dxa"/>
        <w:shd w:val="clear" w:color="auto" w:fill="FFFFFF"/>
        <w:tblCellMar>
          <w:left w:w="0" w:type="dxa"/>
          <w:right w:w="0" w:type="dxa"/>
        </w:tblCellMar>
        <w:tblLook w:val="04A0" w:firstRow="1" w:lastRow="0" w:firstColumn="1" w:lastColumn="0" w:noHBand="0" w:noVBand="1"/>
      </w:tblPr>
      <w:tblGrid>
        <w:gridCol w:w="9026"/>
      </w:tblGrid>
      <w:tr w:rsidR="00724A29" w14:paraId="4F81B25B" w14:textId="77777777" w:rsidTr="00724A29">
        <w:trPr>
          <w:tblCellSpacing w:w="0" w:type="dxa"/>
          <w:jc w:val="center"/>
        </w:trPr>
        <w:tc>
          <w:tcPr>
            <w:tcW w:w="0" w:type="auto"/>
            <w:shd w:val="clear" w:color="auto" w:fill="FFFFFF"/>
          </w:tcPr>
          <w:tbl>
            <w:tblPr>
              <w:tblW w:w="9000" w:type="dxa"/>
              <w:jc w:val="center"/>
              <w:tblCellSpacing w:w="0" w:type="dxa"/>
              <w:shd w:val="clear" w:color="auto" w:fill="4E3487"/>
              <w:tblCellMar>
                <w:left w:w="0" w:type="dxa"/>
                <w:right w:w="0" w:type="dxa"/>
              </w:tblCellMar>
              <w:tblLook w:val="04A0" w:firstRow="1" w:lastRow="0" w:firstColumn="1" w:lastColumn="0" w:noHBand="0" w:noVBand="1"/>
            </w:tblPr>
            <w:tblGrid>
              <w:gridCol w:w="9000"/>
            </w:tblGrid>
            <w:tr w:rsidR="00724A29" w14:paraId="2077A59C" w14:textId="77777777">
              <w:trPr>
                <w:tblCellSpacing w:w="0" w:type="dxa"/>
                <w:jc w:val="center"/>
              </w:trPr>
              <w:tc>
                <w:tcPr>
                  <w:tcW w:w="0" w:type="auto"/>
                  <w:shd w:val="clear" w:color="auto" w:fill="4E3487"/>
                  <w:hideMark/>
                </w:tcPr>
                <w:tbl>
                  <w:tblPr>
                    <w:tblW w:w="9000" w:type="dxa"/>
                    <w:jc w:val="center"/>
                    <w:tblCellSpacing w:w="0" w:type="dxa"/>
                    <w:tblCellMar>
                      <w:top w:w="30" w:type="dxa"/>
                      <w:left w:w="30" w:type="dxa"/>
                      <w:bottom w:w="30" w:type="dxa"/>
                      <w:right w:w="30" w:type="dxa"/>
                    </w:tblCellMar>
                    <w:tblLook w:val="04A0" w:firstRow="1" w:lastRow="0" w:firstColumn="1" w:lastColumn="0" w:noHBand="0" w:noVBand="1"/>
                  </w:tblPr>
                  <w:tblGrid>
                    <w:gridCol w:w="9000"/>
                  </w:tblGrid>
                  <w:tr w:rsidR="00724A29" w14:paraId="6842D081" w14:textId="77777777">
                    <w:trPr>
                      <w:tblCellSpacing w:w="0" w:type="dxa"/>
                      <w:jc w:val="center"/>
                    </w:trPr>
                    <w:tc>
                      <w:tcPr>
                        <w:tcW w:w="3000" w:type="dxa"/>
                        <w:hideMark/>
                      </w:tcPr>
                      <w:p w14:paraId="03E7A21C" w14:textId="3D52661B" w:rsidR="00724A29" w:rsidRDefault="00724A29">
                        <w:pPr>
                          <w:spacing w:line="264" w:lineRule="auto"/>
                          <w:jc w:val="center"/>
                          <w:rPr>
                            <w:rFonts w:ascii="Tahoma" w:eastAsia="Times New Roman" w:hAnsi="Tahoma" w:cs="Tahoma"/>
                            <w:color w:val="FFFFFF"/>
                            <w:sz w:val="17"/>
                            <w:szCs w:val="17"/>
                          </w:rPr>
                        </w:pPr>
                        <w:r>
                          <w:rPr>
                            <w:rFonts w:ascii="Tahoma" w:eastAsia="Times New Roman" w:hAnsi="Tahoma" w:cs="Tahoma"/>
                            <w:color w:val="FFFFFF"/>
                            <w:sz w:val="17"/>
                            <w:szCs w:val="17"/>
                          </w:rPr>
                          <w:t xml:space="preserve"> </w:t>
                        </w:r>
                      </w:p>
                    </w:tc>
                  </w:tr>
                </w:tbl>
                <w:p w14:paraId="6645D7E0" w14:textId="77777777" w:rsidR="00724A29" w:rsidRDefault="00724A29">
                  <w:pPr>
                    <w:jc w:val="center"/>
                    <w:rPr>
                      <w:rFonts w:ascii="Times New Roman" w:eastAsia="Times New Roman" w:hAnsi="Times New Roman" w:cs="Times New Roman"/>
                      <w:sz w:val="20"/>
                      <w:szCs w:val="20"/>
                    </w:rPr>
                  </w:pPr>
                </w:p>
              </w:tc>
            </w:tr>
            <w:tr w:rsidR="00724A29" w14:paraId="4BAC86D2" w14:textId="77777777">
              <w:tblPrEx>
                <w:shd w:val="clear" w:color="auto" w:fill="auto"/>
              </w:tblPrEx>
              <w:trPr>
                <w:tblCellSpacing w:w="0" w:type="dxa"/>
                <w:jc w:val="center"/>
              </w:trPr>
              <w:tc>
                <w:tcPr>
                  <w:tcW w:w="0" w:type="auto"/>
                  <w:shd w:val="clear" w:color="auto" w:fill="FFFFFF"/>
                  <w:hideMark/>
                </w:tcPr>
                <w:tbl>
                  <w:tblPr>
                    <w:tblW w:w="9000" w:type="dxa"/>
                    <w:tblCellSpacing w:w="0" w:type="dxa"/>
                    <w:tblBorders>
                      <w:top w:val="single" w:sz="2" w:space="0" w:color="FFFFFF"/>
                      <w:left w:val="single" w:sz="2" w:space="0" w:color="FFFFFF"/>
                      <w:bottom w:val="single" w:sz="2" w:space="0" w:color="FFFFFF"/>
                      <w:right w:val="single" w:sz="2" w:space="0" w:color="FFFFFF"/>
                    </w:tblBorders>
                    <w:tblCellMar>
                      <w:left w:w="0" w:type="dxa"/>
                      <w:right w:w="0" w:type="dxa"/>
                    </w:tblCellMar>
                    <w:tblLook w:val="04A0" w:firstRow="1" w:lastRow="0" w:firstColumn="1" w:lastColumn="0" w:noHBand="0" w:noVBand="1"/>
                  </w:tblPr>
                  <w:tblGrid>
                    <w:gridCol w:w="3951"/>
                    <w:gridCol w:w="5049"/>
                  </w:tblGrid>
                  <w:tr w:rsidR="00724A29" w14:paraId="729A17A1" w14:textId="77777777">
                    <w:trPr>
                      <w:gridAfter w:val="1"/>
                      <w:wAfter w:w="3450" w:type="dxa"/>
                      <w:trHeight w:val="230"/>
                      <w:tblCellSpacing w:w="0" w:type="dxa"/>
                    </w:trPr>
                    <w:tc>
                      <w:tcPr>
                        <w:tcW w:w="2700" w:type="dxa"/>
                        <w:vMerge w:val="restart"/>
                        <w:tcBorders>
                          <w:top w:val="nil"/>
                          <w:left w:val="nil"/>
                          <w:bottom w:val="single" w:sz="2" w:space="0" w:color="FFFFFF"/>
                          <w:right w:val="nil"/>
                        </w:tcBorders>
                        <w:vAlign w:val="center"/>
                        <w:hideMark/>
                      </w:tcPr>
                      <w:p w14:paraId="450BD93F" w14:textId="3F661EC1" w:rsidR="00724A29" w:rsidRDefault="00724A29">
                        <w:pPr>
                          <w:jc w:val="center"/>
                          <w:rPr>
                            <w:rFonts w:eastAsia="Times New Roman"/>
                          </w:rPr>
                        </w:pPr>
                        <w:r>
                          <w:rPr>
                            <w:rFonts w:eastAsia="Times New Roman"/>
                            <w:noProof/>
                          </w:rPr>
                          <w:drawing>
                            <wp:inline distT="0" distB="0" distL="0" distR="0" wp14:anchorId="76E74F36" wp14:editId="4F02F461">
                              <wp:extent cx="933450" cy="6667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933450" cy="666750"/>
                                      </a:xfrm>
                                      <a:prstGeom prst="rect">
                                        <a:avLst/>
                                      </a:prstGeom>
                                      <a:noFill/>
                                      <a:ln>
                                        <a:noFill/>
                                      </a:ln>
                                    </pic:spPr>
                                  </pic:pic>
                                </a:graphicData>
                              </a:graphic>
                            </wp:inline>
                          </w:drawing>
                        </w:r>
                      </w:p>
                    </w:tc>
                  </w:tr>
                  <w:tr w:rsidR="00724A29" w14:paraId="761B1413" w14:textId="77777777">
                    <w:trPr>
                      <w:tblCellSpacing w:w="0" w:type="dxa"/>
                    </w:trPr>
                    <w:tc>
                      <w:tcPr>
                        <w:tcW w:w="0" w:type="auto"/>
                        <w:vMerge/>
                        <w:tcBorders>
                          <w:top w:val="nil"/>
                          <w:left w:val="nil"/>
                          <w:bottom w:val="single" w:sz="2" w:space="0" w:color="FFFFFF"/>
                          <w:right w:val="nil"/>
                        </w:tcBorders>
                        <w:vAlign w:val="center"/>
                        <w:hideMark/>
                      </w:tcPr>
                      <w:p w14:paraId="1C898236" w14:textId="77777777" w:rsidR="00724A29" w:rsidRDefault="00724A29">
                        <w:pPr>
                          <w:rPr>
                            <w:rFonts w:eastAsia="Times New Roman"/>
                          </w:rPr>
                        </w:pPr>
                      </w:p>
                    </w:tc>
                    <w:tc>
                      <w:tcPr>
                        <w:tcW w:w="3450" w:type="dxa"/>
                        <w:tcBorders>
                          <w:top w:val="nil"/>
                          <w:left w:val="nil"/>
                          <w:bottom w:val="nil"/>
                          <w:right w:val="nil"/>
                        </w:tcBorders>
                        <w:vAlign w:val="center"/>
                        <w:hideMark/>
                      </w:tcPr>
                      <w:p w14:paraId="62551BDF" w14:textId="77777777" w:rsidR="00724A29" w:rsidRDefault="00724A29">
                        <w:pPr>
                          <w:pStyle w:val="Heading1"/>
                          <w:rPr>
                            <w:rFonts w:eastAsia="Times New Roman"/>
                          </w:rPr>
                        </w:pPr>
                        <w:r>
                          <w:rPr>
                            <w:rFonts w:eastAsia="Times New Roman"/>
                          </w:rPr>
                          <w:t>PSNC Newsletter</w:t>
                        </w:r>
                      </w:p>
                    </w:tc>
                  </w:tr>
                  <w:tr w:rsidR="00724A29" w14:paraId="6ACCBF56" w14:textId="77777777">
                    <w:trPr>
                      <w:tblCellSpacing w:w="0" w:type="dxa"/>
                    </w:trPr>
                    <w:tc>
                      <w:tcPr>
                        <w:tcW w:w="0" w:type="auto"/>
                        <w:vMerge/>
                        <w:tcBorders>
                          <w:top w:val="nil"/>
                          <w:left w:val="nil"/>
                          <w:bottom w:val="single" w:sz="2" w:space="0" w:color="FFFFFF"/>
                          <w:right w:val="nil"/>
                        </w:tcBorders>
                        <w:vAlign w:val="center"/>
                        <w:hideMark/>
                      </w:tcPr>
                      <w:p w14:paraId="07DE037C" w14:textId="77777777" w:rsidR="00724A29" w:rsidRDefault="00724A29">
                        <w:pPr>
                          <w:rPr>
                            <w:rFonts w:eastAsia="Times New Roman"/>
                          </w:rPr>
                        </w:pPr>
                      </w:p>
                    </w:tc>
                    <w:tc>
                      <w:tcPr>
                        <w:tcW w:w="3450" w:type="dxa"/>
                        <w:tcBorders>
                          <w:top w:val="nil"/>
                          <w:left w:val="nil"/>
                          <w:bottom w:val="nil"/>
                          <w:right w:val="nil"/>
                        </w:tcBorders>
                        <w:tcMar>
                          <w:top w:w="30" w:type="dxa"/>
                          <w:left w:w="0" w:type="dxa"/>
                          <w:bottom w:w="30" w:type="dxa"/>
                          <w:right w:w="0" w:type="dxa"/>
                        </w:tcMar>
                        <w:vAlign w:val="center"/>
                        <w:hideMark/>
                      </w:tcPr>
                      <w:p w14:paraId="6B3852C8" w14:textId="77777777" w:rsidR="00724A29" w:rsidRDefault="00724A29">
                        <w:pPr>
                          <w:pStyle w:val="Heading2"/>
                          <w:rPr>
                            <w:rFonts w:eastAsia="Times New Roman"/>
                            <w:color w:val="93378A"/>
                          </w:rPr>
                        </w:pPr>
                        <w:r>
                          <w:rPr>
                            <w:rFonts w:eastAsia="Times New Roman"/>
                            <w:color w:val="93378A"/>
                          </w:rPr>
                          <w:t>Monday 28th February 2022</w:t>
                        </w:r>
                      </w:p>
                    </w:tc>
                  </w:tr>
                </w:tbl>
                <w:p w14:paraId="4BD529AC" w14:textId="77777777" w:rsidR="00724A29" w:rsidRDefault="00724A29">
                  <w:pPr>
                    <w:rPr>
                      <w:rFonts w:ascii="Times New Roman" w:eastAsia="Times New Roman" w:hAnsi="Times New Roman" w:cs="Times New Roman"/>
                      <w:sz w:val="20"/>
                      <w:szCs w:val="20"/>
                    </w:rPr>
                  </w:pPr>
                </w:p>
              </w:tc>
            </w:tr>
            <w:tr w:rsidR="00724A29" w14:paraId="5424C7DB" w14:textId="77777777">
              <w:tblPrEx>
                <w:shd w:val="clear" w:color="auto" w:fill="auto"/>
              </w:tblPrEx>
              <w:trPr>
                <w:tblCellSpacing w:w="0" w:type="dxa"/>
                <w:jc w:val="center"/>
              </w:trPr>
              <w:tc>
                <w:tcPr>
                  <w:tcW w:w="9000" w:type="dxa"/>
                  <w:hideMark/>
                </w:tcPr>
                <w:p w14:paraId="34BD103D" w14:textId="28618341" w:rsidR="00724A29" w:rsidRDefault="00724A29">
                  <w:pPr>
                    <w:rPr>
                      <w:rFonts w:eastAsia="Times New Roman"/>
                    </w:rPr>
                  </w:pPr>
                  <w:r>
                    <w:rPr>
                      <w:rFonts w:eastAsia="Times New Roman"/>
                      <w:noProof/>
                    </w:rPr>
                    <w:drawing>
                      <wp:inline distT="0" distB="0" distL="0" distR="0" wp14:anchorId="22D6CF8B" wp14:editId="76BF6A64">
                        <wp:extent cx="5715000" cy="2095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5715000" cy="209550"/>
                                </a:xfrm>
                                <a:prstGeom prst="rect">
                                  <a:avLst/>
                                </a:prstGeom>
                                <a:noFill/>
                                <a:ln>
                                  <a:noFill/>
                                </a:ln>
                              </pic:spPr>
                            </pic:pic>
                          </a:graphicData>
                        </a:graphic>
                      </wp:inline>
                    </w:drawing>
                  </w:r>
                </w:p>
              </w:tc>
            </w:tr>
            <w:tr w:rsidR="00724A29" w14:paraId="4A1AE4D7" w14:textId="77777777">
              <w:tblPrEx>
                <w:shd w:val="clear" w:color="auto" w:fill="auto"/>
              </w:tblPrEx>
              <w:trPr>
                <w:tblCellSpacing w:w="0" w:type="dxa"/>
                <w:jc w:val="center"/>
              </w:trPr>
              <w:tc>
                <w:tcPr>
                  <w:tcW w:w="9000" w:type="dxa"/>
                  <w:hideMark/>
                </w:tcPr>
                <w:tbl>
                  <w:tblPr>
                    <w:tblW w:w="9000" w:type="dxa"/>
                    <w:jc w:val="center"/>
                    <w:tblCellSpacing w:w="15" w:type="dxa"/>
                    <w:tblCellMar>
                      <w:left w:w="0" w:type="dxa"/>
                      <w:right w:w="0" w:type="dxa"/>
                    </w:tblCellMar>
                    <w:tblLook w:val="04A0" w:firstRow="1" w:lastRow="0" w:firstColumn="1" w:lastColumn="0" w:noHBand="0" w:noVBand="1"/>
                  </w:tblPr>
                  <w:tblGrid>
                    <w:gridCol w:w="193"/>
                    <w:gridCol w:w="8615"/>
                    <w:gridCol w:w="192"/>
                  </w:tblGrid>
                  <w:tr w:rsidR="00724A29" w14:paraId="41BD8097" w14:textId="77777777">
                    <w:trPr>
                      <w:trHeight w:val="150"/>
                      <w:tblCellSpacing w:w="15" w:type="dxa"/>
                      <w:jc w:val="center"/>
                    </w:trPr>
                    <w:tc>
                      <w:tcPr>
                        <w:tcW w:w="150" w:type="dxa"/>
                        <w:vAlign w:val="center"/>
                        <w:hideMark/>
                      </w:tcPr>
                      <w:p w14:paraId="2213F247" w14:textId="77777777" w:rsidR="00724A29" w:rsidRDefault="00724A29">
                        <w:pPr>
                          <w:rPr>
                            <w:rFonts w:eastAsia="Times New Roman"/>
                          </w:rPr>
                        </w:pPr>
                      </w:p>
                    </w:tc>
                    <w:tc>
                      <w:tcPr>
                        <w:tcW w:w="8700" w:type="dxa"/>
                        <w:vAlign w:val="center"/>
                        <w:hideMark/>
                      </w:tcPr>
                      <w:p w14:paraId="72425FD6" w14:textId="77777777" w:rsidR="00724A29" w:rsidRDefault="00724A29">
                        <w:pPr>
                          <w:rPr>
                            <w:rFonts w:ascii="Times New Roman" w:eastAsia="Times New Roman" w:hAnsi="Times New Roman" w:cs="Times New Roman"/>
                            <w:sz w:val="20"/>
                            <w:szCs w:val="20"/>
                          </w:rPr>
                        </w:pPr>
                      </w:p>
                    </w:tc>
                    <w:tc>
                      <w:tcPr>
                        <w:tcW w:w="150" w:type="dxa"/>
                        <w:vAlign w:val="center"/>
                        <w:hideMark/>
                      </w:tcPr>
                      <w:p w14:paraId="776390F8" w14:textId="77777777" w:rsidR="00724A29" w:rsidRDefault="00724A29">
                        <w:pPr>
                          <w:rPr>
                            <w:rFonts w:ascii="Times New Roman" w:eastAsia="Times New Roman" w:hAnsi="Times New Roman" w:cs="Times New Roman"/>
                            <w:sz w:val="20"/>
                            <w:szCs w:val="20"/>
                          </w:rPr>
                        </w:pPr>
                      </w:p>
                    </w:tc>
                  </w:tr>
                  <w:tr w:rsidR="00724A29" w14:paraId="52CB86DE" w14:textId="77777777">
                    <w:trPr>
                      <w:tblCellSpacing w:w="15" w:type="dxa"/>
                      <w:jc w:val="center"/>
                    </w:trPr>
                    <w:tc>
                      <w:tcPr>
                        <w:tcW w:w="150" w:type="dxa"/>
                        <w:vAlign w:val="center"/>
                        <w:hideMark/>
                      </w:tcPr>
                      <w:p w14:paraId="1DFAFC7F" w14:textId="77777777" w:rsidR="00724A29" w:rsidRDefault="00724A29">
                        <w:pPr>
                          <w:rPr>
                            <w:rFonts w:ascii="Times New Roman" w:eastAsia="Times New Roman" w:hAnsi="Times New Roman" w:cs="Times New Roman"/>
                            <w:sz w:val="20"/>
                            <w:szCs w:val="20"/>
                          </w:rPr>
                        </w:pPr>
                      </w:p>
                    </w:tc>
                    <w:tc>
                      <w:tcPr>
                        <w:tcW w:w="8700" w:type="dxa"/>
                        <w:vAlign w:val="center"/>
                        <w:hideMark/>
                      </w:tcPr>
                      <w:p w14:paraId="40B54D3B" w14:textId="77777777" w:rsidR="00724A29" w:rsidRDefault="00724A29">
                        <w:pPr>
                          <w:spacing w:line="264" w:lineRule="auto"/>
                          <w:jc w:val="both"/>
                          <w:rPr>
                            <w:rFonts w:ascii="Tahoma" w:eastAsia="Times New Roman" w:hAnsi="Tahoma" w:cs="Tahoma"/>
                            <w:color w:val="303030"/>
                            <w:sz w:val="21"/>
                            <w:szCs w:val="21"/>
                          </w:rPr>
                        </w:pPr>
                        <w:r>
                          <w:rPr>
                            <w:rFonts w:ascii="Tahoma" w:eastAsia="Times New Roman" w:hAnsi="Tahoma" w:cs="Tahoma"/>
                            <w:color w:val="303030"/>
                            <w:sz w:val="21"/>
                            <w:szCs w:val="21"/>
                          </w:rPr>
                          <w:t xml:space="preserve">This newsletter from PSNC is sent on Mondays, </w:t>
                        </w:r>
                        <w:proofErr w:type="gramStart"/>
                        <w:r>
                          <w:rPr>
                            <w:rFonts w:ascii="Tahoma" w:eastAsia="Times New Roman" w:hAnsi="Tahoma" w:cs="Tahoma"/>
                            <w:color w:val="303030"/>
                            <w:sz w:val="21"/>
                            <w:szCs w:val="21"/>
                          </w:rPr>
                          <w:t>Wednesdays</w:t>
                        </w:r>
                        <w:proofErr w:type="gramEnd"/>
                        <w:r>
                          <w:rPr>
                            <w:rFonts w:ascii="Tahoma" w:eastAsia="Times New Roman" w:hAnsi="Tahoma" w:cs="Tahoma"/>
                            <w:color w:val="303030"/>
                            <w:sz w:val="21"/>
                            <w:szCs w:val="21"/>
                          </w:rPr>
                          <w:t xml:space="preserve"> and Fridays. It contains important information for those that work in the community pharmacy sector.</w:t>
                        </w:r>
                      </w:p>
                      <w:p w14:paraId="0660BA03" w14:textId="77777777" w:rsidR="00724A29" w:rsidRDefault="00724A29">
                        <w:pPr>
                          <w:spacing w:line="264" w:lineRule="auto"/>
                          <w:jc w:val="center"/>
                          <w:rPr>
                            <w:rFonts w:ascii="Tahoma" w:eastAsia="Times New Roman" w:hAnsi="Tahoma" w:cs="Tahoma"/>
                            <w:color w:val="303030"/>
                            <w:sz w:val="21"/>
                            <w:szCs w:val="21"/>
                          </w:rPr>
                        </w:pPr>
                        <w:r>
                          <w:rPr>
                            <w:rFonts w:ascii="Tahoma" w:eastAsia="Times New Roman" w:hAnsi="Tahoma" w:cs="Tahoma"/>
                            <w:color w:val="303030"/>
                            <w:sz w:val="21"/>
                            <w:szCs w:val="21"/>
                          </w:rPr>
                          <w:pict w14:anchorId="25E4C3F7">
                            <v:rect id="_x0000_i1032" style="width:468pt;height:1.5pt" o:hralign="center" o:hrstd="t" o:hr="t" fillcolor="#a0a0a0" stroked="f"/>
                          </w:pict>
                        </w:r>
                      </w:p>
                      <w:p w14:paraId="47CCB5F1" w14:textId="77777777" w:rsidR="00724A29" w:rsidRDefault="00724A29">
                        <w:pPr>
                          <w:pStyle w:val="Heading2"/>
                          <w:rPr>
                            <w:rFonts w:eastAsia="Times New Roman"/>
                          </w:rPr>
                        </w:pPr>
                        <w:r>
                          <w:rPr>
                            <w:rFonts w:eastAsia="Times New Roman"/>
                          </w:rPr>
                          <w:t>In this update: PSNC Policy Team blog published; securing earlier advance payment; PQS declaration updates; SSP014 reactivated; new section of Drug Tariff.</w:t>
                        </w:r>
                      </w:p>
                      <w:p w14:paraId="136CC8E1" w14:textId="77777777" w:rsidR="00724A29" w:rsidRDefault="00724A29">
                        <w:pPr>
                          <w:spacing w:line="264" w:lineRule="auto"/>
                          <w:jc w:val="center"/>
                          <w:rPr>
                            <w:rFonts w:ascii="Tahoma" w:eastAsia="Times New Roman" w:hAnsi="Tahoma" w:cs="Tahoma"/>
                            <w:color w:val="303030"/>
                            <w:sz w:val="21"/>
                            <w:szCs w:val="21"/>
                          </w:rPr>
                        </w:pPr>
                        <w:r>
                          <w:rPr>
                            <w:rFonts w:ascii="Tahoma" w:eastAsia="Times New Roman" w:hAnsi="Tahoma" w:cs="Tahoma"/>
                            <w:color w:val="303030"/>
                            <w:sz w:val="21"/>
                            <w:szCs w:val="21"/>
                          </w:rPr>
                          <w:pict w14:anchorId="543EA49C">
                            <v:rect id="_x0000_i1033" style="width:468pt;height:1.5pt" o:hralign="center" o:hrstd="t" o:hr="t" fillcolor="#a0a0a0" stroked="f"/>
                          </w:pict>
                        </w:r>
                      </w:p>
                      <w:p w14:paraId="4F63098C" w14:textId="77777777" w:rsidR="00724A29" w:rsidRDefault="00724A29" w:rsidP="00724A29">
                        <w:pPr>
                          <w:pStyle w:val="Heading3"/>
                          <w:spacing w:after="0"/>
                          <w:rPr>
                            <w:rFonts w:eastAsia="Times New Roman"/>
                          </w:rPr>
                        </w:pPr>
                        <w:r>
                          <w:rPr>
                            <w:rFonts w:eastAsia="Times New Roman"/>
                          </w:rPr>
                          <w:t>February Policy Team blog published</w:t>
                        </w:r>
                      </w:p>
                      <w:p w14:paraId="25722756" w14:textId="77777777" w:rsidR="00724A29" w:rsidRDefault="00724A29" w:rsidP="00724A29">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t>In February's Policy Team blog, PSNC's Director of Communications and Public Affairs, Zoe Long, reflects on the publication of the Government's 'Living with COVID' strategy and what this means for pharmacies as negotiations on Year 4 of the Community Pharmacy Contractual Framework (CPCF) begin.</w:t>
                        </w:r>
                        <w:r>
                          <w:rPr>
                            <w:rFonts w:ascii="Tahoma" w:eastAsia="Times New Roman" w:hAnsi="Tahoma" w:cs="Tahoma"/>
                            <w:color w:val="303030"/>
                            <w:sz w:val="21"/>
                            <w:szCs w:val="21"/>
                          </w:rPr>
                          <w:br/>
                        </w:r>
                        <w:r>
                          <w:rPr>
                            <w:rFonts w:ascii="Tahoma" w:eastAsia="Times New Roman" w:hAnsi="Tahoma" w:cs="Tahoma"/>
                            <w:color w:val="303030"/>
                            <w:sz w:val="21"/>
                            <w:szCs w:val="21"/>
                          </w:rPr>
                          <w:br/>
                        </w:r>
                        <w:hyperlink r:id="rId8" w:tgtFrame="_blank" w:history="1">
                          <w:r>
                            <w:rPr>
                              <w:rStyle w:val="Hyperlink"/>
                              <w:rFonts w:ascii="Tahoma" w:eastAsia="Times New Roman" w:hAnsi="Tahoma" w:cs="Tahoma"/>
                              <w:b/>
                              <w:bCs/>
                              <w:color w:val="4E3487"/>
                              <w:sz w:val="21"/>
                              <w:szCs w:val="21"/>
                            </w:rPr>
                            <w:t>Read PSNC's latest Policy Team blog</w:t>
                          </w:r>
                        </w:hyperlink>
                        <w:r>
                          <w:rPr>
                            <w:rFonts w:ascii="Tahoma" w:eastAsia="Times New Roman" w:hAnsi="Tahoma" w:cs="Tahoma"/>
                            <w:color w:val="303030"/>
                            <w:sz w:val="21"/>
                            <w:szCs w:val="21"/>
                          </w:rPr>
                          <w:t xml:space="preserve"> </w:t>
                        </w:r>
                      </w:p>
                      <w:p w14:paraId="275BE22A" w14:textId="77777777" w:rsidR="00724A29" w:rsidRDefault="00724A29" w:rsidP="00724A29">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pict w14:anchorId="023DD243">
                            <v:rect id="_x0000_i1034" style="width:468pt;height:1.5pt" o:hrstd="t" o:hr="t" fillcolor="#a0a0a0" stroked="f"/>
                          </w:pict>
                        </w:r>
                      </w:p>
                      <w:p w14:paraId="0B002985" w14:textId="77777777" w:rsidR="00724A29" w:rsidRDefault="00724A29" w:rsidP="00724A29">
                        <w:pPr>
                          <w:pStyle w:val="Heading3"/>
                          <w:spacing w:after="0"/>
                          <w:rPr>
                            <w:rFonts w:eastAsia="Times New Roman"/>
                          </w:rPr>
                        </w:pPr>
                        <w:r>
                          <w:rPr>
                            <w:rFonts w:eastAsia="Times New Roman"/>
                          </w:rPr>
                          <w:t>Submit FP34C by 5th March for earlier advance payment</w:t>
                        </w:r>
                      </w:p>
                      <w:p w14:paraId="20459901" w14:textId="77777777" w:rsidR="00724A29" w:rsidRDefault="00724A29" w:rsidP="00724A29">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t xml:space="preserve">In order to secure earlier advance payments on the </w:t>
                        </w:r>
                        <w:proofErr w:type="gramStart"/>
                        <w:r>
                          <w:rPr>
                            <w:rFonts w:ascii="Tahoma" w:eastAsia="Times New Roman" w:hAnsi="Tahoma" w:cs="Tahoma"/>
                            <w:color w:val="303030"/>
                            <w:sz w:val="21"/>
                            <w:szCs w:val="21"/>
                          </w:rPr>
                          <w:t>10th</w:t>
                        </w:r>
                        <w:proofErr w:type="gramEnd"/>
                        <w:r>
                          <w:rPr>
                            <w:rFonts w:ascii="Tahoma" w:eastAsia="Times New Roman" w:hAnsi="Tahoma" w:cs="Tahoma"/>
                            <w:color w:val="303030"/>
                            <w:sz w:val="21"/>
                            <w:szCs w:val="21"/>
                          </w:rPr>
                          <w:t xml:space="preserve"> March 2022, community pharmacy contractors are reminded of the requirement to submit FP34Cs through the Manage Your Service (MYS) portal by</w:t>
                        </w:r>
                        <w:r>
                          <w:rPr>
                            <w:rStyle w:val="Strong"/>
                            <w:rFonts w:ascii="Tahoma" w:eastAsia="Times New Roman" w:hAnsi="Tahoma" w:cs="Tahoma"/>
                            <w:color w:val="303030"/>
                            <w:sz w:val="21"/>
                            <w:szCs w:val="21"/>
                          </w:rPr>
                          <w:t> </w:t>
                        </w:r>
                        <w:r>
                          <w:rPr>
                            <w:rFonts w:ascii="Tahoma" w:eastAsia="Times New Roman" w:hAnsi="Tahoma" w:cs="Tahoma"/>
                            <w:color w:val="303030"/>
                            <w:sz w:val="21"/>
                            <w:szCs w:val="21"/>
                          </w:rPr>
                          <w:t xml:space="preserve">no later than the </w:t>
                        </w:r>
                        <w:r>
                          <w:rPr>
                            <w:rStyle w:val="Strong"/>
                            <w:rFonts w:ascii="Tahoma" w:eastAsia="Times New Roman" w:hAnsi="Tahoma" w:cs="Tahoma"/>
                            <w:color w:val="303030"/>
                            <w:sz w:val="21"/>
                            <w:szCs w:val="21"/>
                          </w:rPr>
                          <w:t>5th March 2022</w:t>
                        </w:r>
                        <w:r>
                          <w:rPr>
                            <w:rFonts w:ascii="Tahoma" w:eastAsia="Times New Roman" w:hAnsi="Tahoma" w:cs="Tahoma"/>
                            <w:color w:val="303030"/>
                            <w:sz w:val="21"/>
                            <w:szCs w:val="21"/>
                          </w:rPr>
                          <w:t xml:space="preserve">. </w:t>
                        </w:r>
                      </w:p>
                      <w:p w14:paraId="7538BF0C" w14:textId="77777777" w:rsidR="00724A29" w:rsidRDefault="00724A29" w:rsidP="00724A29">
                        <w:pPr>
                          <w:pStyle w:val="NormalWeb"/>
                          <w:spacing w:before="0" w:beforeAutospacing="0" w:after="0" w:afterAutospacing="0" w:line="264" w:lineRule="auto"/>
                          <w:rPr>
                            <w:rFonts w:ascii="Tahoma" w:hAnsi="Tahoma" w:cs="Tahoma"/>
                            <w:color w:val="303030"/>
                            <w:sz w:val="21"/>
                            <w:szCs w:val="21"/>
                          </w:rPr>
                        </w:pPr>
                      </w:p>
                      <w:p w14:paraId="290B6BFE" w14:textId="501CA026" w:rsidR="00724A29" w:rsidRDefault="00724A29" w:rsidP="00724A29">
                        <w:pPr>
                          <w:pStyle w:val="NormalWeb"/>
                          <w:spacing w:before="0" w:beforeAutospacing="0" w:after="0" w:afterAutospacing="0" w:line="264" w:lineRule="auto"/>
                          <w:rPr>
                            <w:rFonts w:ascii="Tahoma" w:hAnsi="Tahoma" w:cs="Tahoma"/>
                            <w:color w:val="303030"/>
                            <w:sz w:val="21"/>
                            <w:szCs w:val="21"/>
                          </w:rPr>
                        </w:pPr>
                        <w:r>
                          <w:rPr>
                            <w:rFonts w:ascii="Tahoma" w:hAnsi="Tahoma" w:cs="Tahoma"/>
                            <w:color w:val="303030"/>
                            <w:sz w:val="21"/>
                            <w:szCs w:val="21"/>
                          </w:rPr>
                          <w:t>Once the FP34C is submitted electronically, contractors must print their completed submission document from MYS and enclose it with their monthly prescription bundle. Although a printout of the completed declaration needs to be included with the bundle, contractors should note that it is the figures declared within the MYS portal that will be used as their FP34C declaration.</w:t>
                        </w:r>
                        <w:r>
                          <w:rPr>
                            <w:rFonts w:ascii="Tahoma" w:hAnsi="Tahoma" w:cs="Tahoma"/>
                            <w:color w:val="303030"/>
                            <w:sz w:val="21"/>
                            <w:szCs w:val="21"/>
                          </w:rPr>
                          <w:br/>
                        </w:r>
                        <w:r>
                          <w:rPr>
                            <w:rFonts w:ascii="Tahoma" w:hAnsi="Tahoma" w:cs="Tahoma"/>
                            <w:color w:val="303030"/>
                            <w:sz w:val="21"/>
                            <w:szCs w:val="21"/>
                          </w:rPr>
                          <w:br/>
                        </w:r>
                        <w:hyperlink r:id="rId9" w:tgtFrame="_blank" w:history="1">
                          <w:r>
                            <w:rPr>
                              <w:rStyle w:val="Hyperlink"/>
                              <w:rFonts w:ascii="Tahoma" w:hAnsi="Tahoma" w:cs="Tahoma"/>
                              <w:b/>
                              <w:bCs/>
                              <w:color w:val="4E3487"/>
                              <w:sz w:val="21"/>
                              <w:szCs w:val="21"/>
                            </w:rPr>
                            <w:t>Learn more</w:t>
                          </w:r>
                        </w:hyperlink>
                      </w:p>
                      <w:p w14:paraId="363AC4B1" w14:textId="77777777" w:rsidR="00724A29" w:rsidRDefault="00724A29" w:rsidP="00724A29">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pict w14:anchorId="18B802CC">
                            <v:rect id="_x0000_i1035" style="width:468pt;height:1.5pt" o:hrstd="t" o:hr="t" fillcolor="#a0a0a0" stroked="f"/>
                          </w:pict>
                        </w:r>
                      </w:p>
                      <w:p w14:paraId="079896D7" w14:textId="77777777" w:rsidR="00724A29" w:rsidRDefault="00724A29" w:rsidP="00724A29">
                        <w:pPr>
                          <w:pStyle w:val="Heading3"/>
                          <w:spacing w:after="0"/>
                          <w:rPr>
                            <w:rFonts w:eastAsia="Times New Roman"/>
                          </w:rPr>
                        </w:pPr>
                        <w:r>
                          <w:rPr>
                            <w:rFonts w:eastAsia="Times New Roman"/>
                          </w:rPr>
                          <w:t>PQS updates </w:t>
                        </w:r>
                      </w:p>
                      <w:p w14:paraId="03DF7619" w14:textId="71988235" w:rsidR="00724A29" w:rsidRDefault="00724A29" w:rsidP="00724A29">
                        <w:pPr>
                          <w:spacing w:line="264" w:lineRule="auto"/>
                          <w:rPr>
                            <w:rFonts w:ascii="Tahoma" w:eastAsia="Times New Roman" w:hAnsi="Tahoma" w:cs="Tahoma"/>
                            <w:color w:val="303030"/>
                            <w:sz w:val="21"/>
                            <w:szCs w:val="21"/>
                          </w:rPr>
                        </w:pPr>
                        <w:r>
                          <w:rPr>
                            <w:rStyle w:val="Strong"/>
                            <w:rFonts w:ascii="Tahoma" w:eastAsia="Times New Roman" w:hAnsi="Tahoma" w:cs="Tahoma"/>
                            <w:color w:val="303030"/>
                            <w:sz w:val="21"/>
                            <w:szCs w:val="21"/>
                          </w:rPr>
                          <w:t>PQS declaration window closes soon</w:t>
                        </w:r>
                        <w:r>
                          <w:rPr>
                            <w:rFonts w:ascii="Tahoma" w:eastAsia="Times New Roman" w:hAnsi="Tahoma" w:cs="Tahoma"/>
                            <w:color w:val="303030"/>
                            <w:sz w:val="21"/>
                            <w:szCs w:val="21"/>
                          </w:rPr>
                          <w:br/>
                          <w:t>Over 7,200 contractors have already made their declaration for the 2021/22 Pharmacy Quality Scheme (PQS). For those that haven't, please note that the deadline is </w:t>
                        </w:r>
                        <w:r>
                          <w:rPr>
                            <w:rStyle w:val="Strong"/>
                            <w:rFonts w:ascii="Tahoma" w:eastAsia="Times New Roman" w:hAnsi="Tahoma" w:cs="Tahoma"/>
                            <w:color w:val="303030"/>
                            <w:sz w:val="21"/>
                            <w:szCs w:val="21"/>
                          </w:rPr>
                          <w:t>11.59pm this Wednesday (2nd March 2022)</w:t>
                        </w:r>
                        <w:r>
                          <w:rPr>
                            <w:rFonts w:ascii="Tahoma" w:eastAsia="Times New Roman" w:hAnsi="Tahoma" w:cs="Tahoma"/>
                            <w:color w:val="303030"/>
                            <w:sz w:val="21"/>
                            <w:szCs w:val="21"/>
                          </w:rPr>
                          <w:t>. </w:t>
                        </w:r>
                        <w:r>
                          <w:rPr>
                            <w:rFonts w:ascii="Tahoma" w:eastAsia="Times New Roman" w:hAnsi="Tahoma" w:cs="Tahoma"/>
                            <w:color w:val="303030"/>
                            <w:sz w:val="21"/>
                            <w:szCs w:val="21"/>
                          </w:rPr>
                          <w:br/>
                        </w:r>
                        <w:r>
                          <w:rPr>
                            <w:rFonts w:ascii="Tahoma" w:eastAsia="Times New Roman" w:hAnsi="Tahoma" w:cs="Tahoma"/>
                            <w:color w:val="303030"/>
                            <w:sz w:val="21"/>
                            <w:szCs w:val="21"/>
                          </w:rPr>
                          <w:br/>
                        </w:r>
                        <w:hyperlink r:id="rId10" w:tgtFrame="_blank" w:history="1">
                          <w:r>
                            <w:rPr>
                              <w:rStyle w:val="Hyperlink"/>
                              <w:rFonts w:ascii="Tahoma" w:eastAsia="Times New Roman" w:hAnsi="Tahoma" w:cs="Tahoma"/>
                              <w:b/>
                              <w:bCs/>
                              <w:color w:val="4E3487"/>
                              <w:sz w:val="21"/>
                              <w:szCs w:val="21"/>
                            </w:rPr>
                            <w:t>Read more about making a PQS declaration</w:t>
                          </w:r>
                        </w:hyperlink>
                        <w:r>
                          <w:rPr>
                            <w:rFonts w:ascii="Tahoma" w:eastAsia="Times New Roman" w:hAnsi="Tahoma" w:cs="Tahoma"/>
                            <w:color w:val="303030"/>
                            <w:sz w:val="21"/>
                            <w:szCs w:val="21"/>
                          </w:rPr>
                          <w:br/>
                        </w:r>
                        <w:r>
                          <w:rPr>
                            <w:rFonts w:ascii="Tahoma" w:eastAsia="Times New Roman" w:hAnsi="Tahoma" w:cs="Tahoma"/>
                            <w:color w:val="303030"/>
                            <w:sz w:val="21"/>
                            <w:szCs w:val="21"/>
                          </w:rPr>
                          <w:br/>
                        </w:r>
                        <w:r>
                          <w:rPr>
                            <w:rStyle w:val="Strong"/>
                            <w:rFonts w:ascii="Tahoma" w:eastAsia="Times New Roman" w:hAnsi="Tahoma" w:cs="Tahoma"/>
                            <w:color w:val="303030"/>
                            <w:sz w:val="21"/>
                            <w:szCs w:val="21"/>
                          </w:rPr>
                          <w:t xml:space="preserve">ESPAUR antibiotic checklist data published </w:t>
                        </w:r>
                        <w:r>
                          <w:rPr>
                            <w:rFonts w:ascii="Tahoma" w:eastAsia="Times New Roman" w:hAnsi="Tahoma" w:cs="Tahoma"/>
                            <w:color w:val="303030"/>
                            <w:sz w:val="21"/>
                            <w:szCs w:val="21"/>
                          </w:rPr>
                          <w:br/>
                          <w:t xml:space="preserve">Contractors can now use a spreadsheet from the English surveillance programme for </w:t>
                        </w:r>
                        <w:r>
                          <w:rPr>
                            <w:rFonts w:ascii="Tahoma" w:eastAsia="Times New Roman" w:hAnsi="Tahoma" w:cs="Tahoma"/>
                            <w:color w:val="303030"/>
                            <w:sz w:val="21"/>
                            <w:szCs w:val="21"/>
                          </w:rPr>
                          <w:lastRenderedPageBreak/>
                          <w:t xml:space="preserve">antimicrobial utilisation and resistance (ESPAUR) to help determine whether they meet the Prevention domain of the 2021/22 Pharmacy Quality Scheme (PQS).  </w:t>
                        </w:r>
                      </w:p>
                      <w:p w14:paraId="02C821DF" w14:textId="77777777" w:rsidR="00724A29" w:rsidRDefault="00724A29" w:rsidP="00724A29">
                        <w:pPr>
                          <w:spacing w:line="264" w:lineRule="auto"/>
                          <w:rPr>
                            <w:rFonts w:ascii="Tahoma" w:eastAsia="Times New Roman" w:hAnsi="Tahoma" w:cs="Tahoma"/>
                            <w:color w:val="303030"/>
                            <w:sz w:val="21"/>
                            <w:szCs w:val="21"/>
                          </w:rPr>
                        </w:pPr>
                      </w:p>
                      <w:p w14:paraId="2EC25534" w14:textId="77777777" w:rsidR="00724A29" w:rsidRDefault="00724A29" w:rsidP="00724A29">
                        <w:pPr>
                          <w:pStyle w:val="NormalWeb"/>
                          <w:spacing w:before="0" w:beforeAutospacing="0" w:after="0" w:afterAutospacing="0" w:line="264" w:lineRule="auto"/>
                          <w:rPr>
                            <w:rFonts w:ascii="Tahoma" w:hAnsi="Tahoma" w:cs="Tahoma"/>
                            <w:color w:val="303030"/>
                            <w:sz w:val="21"/>
                            <w:szCs w:val="21"/>
                          </w:rPr>
                        </w:pPr>
                        <w:hyperlink r:id="rId11" w:tgtFrame="_blank" w:history="1">
                          <w:r>
                            <w:rPr>
                              <w:rStyle w:val="Hyperlink"/>
                              <w:rFonts w:ascii="Tahoma" w:hAnsi="Tahoma" w:cs="Tahoma"/>
                              <w:b/>
                              <w:bCs/>
                              <w:color w:val="4E3487"/>
                              <w:sz w:val="21"/>
                              <w:szCs w:val="21"/>
                            </w:rPr>
                            <w:t>View the antibiotic checklist data</w:t>
                          </w:r>
                        </w:hyperlink>
                      </w:p>
                      <w:p w14:paraId="704B879A" w14:textId="77777777" w:rsidR="00724A29" w:rsidRDefault="00724A29" w:rsidP="00724A29">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pict w14:anchorId="66501743">
                            <v:rect id="_x0000_i1036" style="width:468pt;height:1.5pt" o:hrstd="t" o:hr="t" fillcolor="#a0a0a0" stroked="f"/>
                          </w:pict>
                        </w:r>
                      </w:p>
                      <w:p w14:paraId="1C9E0560" w14:textId="77777777" w:rsidR="00724A29" w:rsidRDefault="00724A29" w:rsidP="00724A29">
                        <w:pPr>
                          <w:pStyle w:val="Heading3"/>
                          <w:spacing w:after="0"/>
                          <w:rPr>
                            <w:rFonts w:eastAsia="Times New Roman"/>
                          </w:rPr>
                        </w:pPr>
                        <w:r>
                          <w:rPr>
                            <w:rFonts w:eastAsia="Times New Roman"/>
                          </w:rPr>
                          <w:t>SSP014 reactivated</w:t>
                        </w:r>
                      </w:p>
                      <w:p w14:paraId="7540F309" w14:textId="1D06291F" w:rsidR="00724A29" w:rsidRDefault="00724A29" w:rsidP="00724A29">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t xml:space="preserve">In response to significant ongoing disruption to the supply of </w:t>
                        </w:r>
                        <w:proofErr w:type="spellStart"/>
                        <w:r>
                          <w:rPr>
                            <w:rFonts w:ascii="Tahoma" w:eastAsia="Times New Roman" w:hAnsi="Tahoma" w:cs="Tahoma"/>
                            <w:color w:val="303030"/>
                            <w:sz w:val="21"/>
                            <w:szCs w:val="21"/>
                          </w:rPr>
                          <w:t>Salazopyrin</w:t>
                        </w:r>
                        <w:proofErr w:type="spellEnd"/>
                        <w:r>
                          <w:rPr>
                            <w:rFonts w:ascii="Tahoma" w:eastAsia="Times New Roman" w:hAnsi="Tahoma" w:cs="Tahoma"/>
                            <w:color w:val="303030"/>
                            <w:sz w:val="21"/>
                            <w:szCs w:val="21"/>
                          </w:rPr>
                          <w:t xml:space="preserve"> 500mg EN-Tabs, the Department of Health and Social Care (DHSC) has reactivated the Serious Shortage Protocol (SSP) for this product, SSP014. From today, SSP014 provides that for every </w:t>
                        </w:r>
                        <w:proofErr w:type="spellStart"/>
                        <w:r>
                          <w:rPr>
                            <w:rFonts w:ascii="Tahoma" w:eastAsia="Times New Roman" w:hAnsi="Tahoma" w:cs="Tahoma"/>
                            <w:color w:val="303030"/>
                            <w:sz w:val="21"/>
                            <w:szCs w:val="21"/>
                          </w:rPr>
                          <w:t>Salazopyrin</w:t>
                        </w:r>
                        <w:proofErr w:type="spellEnd"/>
                        <w:r>
                          <w:rPr>
                            <w:rFonts w:ascii="Tahoma" w:eastAsia="Times New Roman" w:hAnsi="Tahoma" w:cs="Tahoma"/>
                            <w:color w:val="303030"/>
                            <w:sz w:val="21"/>
                            <w:szCs w:val="21"/>
                          </w:rPr>
                          <w:t xml:space="preserve"> EN-Tabs 500mg tablet originally prescribed, one Sulfasalazine 500mg gastro-resistant (GR) tablet must be supplied. </w:t>
                        </w:r>
                      </w:p>
                      <w:p w14:paraId="1064442F" w14:textId="77777777" w:rsidR="00724A29" w:rsidRDefault="00724A29" w:rsidP="00724A29">
                        <w:pPr>
                          <w:spacing w:line="264" w:lineRule="auto"/>
                          <w:rPr>
                            <w:rFonts w:ascii="Tahoma" w:eastAsia="Times New Roman" w:hAnsi="Tahoma" w:cs="Tahoma"/>
                            <w:color w:val="303030"/>
                            <w:sz w:val="21"/>
                            <w:szCs w:val="21"/>
                          </w:rPr>
                        </w:pPr>
                      </w:p>
                      <w:p w14:paraId="57B8A531" w14:textId="77777777" w:rsidR="00724A29" w:rsidRDefault="00724A29" w:rsidP="00724A29">
                        <w:pPr>
                          <w:pStyle w:val="NormalWeb"/>
                          <w:spacing w:before="0" w:beforeAutospacing="0" w:after="0" w:afterAutospacing="0" w:line="264" w:lineRule="auto"/>
                          <w:rPr>
                            <w:rFonts w:ascii="Tahoma" w:hAnsi="Tahoma" w:cs="Tahoma"/>
                            <w:color w:val="303030"/>
                            <w:sz w:val="21"/>
                            <w:szCs w:val="21"/>
                          </w:rPr>
                        </w:pPr>
                        <w:hyperlink r:id="rId12" w:tgtFrame="_blank" w:history="1">
                          <w:r>
                            <w:rPr>
                              <w:rStyle w:val="Hyperlink"/>
                              <w:rFonts w:ascii="Tahoma" w:hAnsi="Tahoma" w:cs="Tahoma"/>
                              <w:b/>
                              <w:bCs/>
                              <w:color w:val="4E3487"/>
                              <w:sz w:val="21"/>
                              <w:szCs w:val="21"/>
                            </w:rPr>
                            <w:t>Find out more about SSP014</w:t>
                          </w:r>
                        </w:hyperlink>
                      </w:p>
                      <w:p w14:paraId="61A62BA1" w14:textId="77777777" w:rsidR="00724A29" w:rsidRDefault="00724A29" w:rsidP="00724A29">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pict w14:anchorId="29995D4D">
                            <v:rect id="_x0000_i1037" style="width:468pt;height:1.5pt" o:hrstd="t" o:hr="t" fillcolor="#a0a0a0" stroked="f"/>
                          </w:pict>
                        </w:r>
                      </w:p>
                      <w:p w14:paraId="3EE4AFBB" w14:textId="77777777" w:rsidR="00724A29" w:rsidRDefault="00724A29" w:rsidP="00724A29">
                        <w:pPr>
                          <w:pStyle w:val="Heading3"/>
                          <w:spacing w:after="0"/>
                          <w:rPr>
                            <w:rFonts w:eastAsia="Times New Roman"/>
                          </w:rPr>
                        </w:pPr>
                        <w:r>
                          <w:rPr>
                            <w:rFonts w:eastAsia="Times New Roman"/>
                          </w:rPr>
                          <w:t>Specials added to a new section of the Drug Tariff</w:t>
                        </w:r>
                      </w:p>
                      <w:p w14:paraId="66367684" w14:textId="77777777" w:rsidR="00724A29" w:rsidRDefault="00724A29" w:rsidP="00724A29">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t>We would like to remind community pharmacy teams, that from March 2022, the Drug Tariff will include a new section, Part VIIID. This section will outline the payment arrangements for specials and imported unlicensed medicines (primarily unlicensed tablets/capsules) to be paid relative to a commonly identified pack size.</w:t>
                        </w:r>
                        <w:r>
                          <w:rPr>
                            <w:rFonts w:ascii="Tahoma" w:eastAsia="Times New Roman" w:hAnsi="Tahoma" w:cs="Tahoma"/>
                            <w:color w:val="303030"/>
                            <w:sz w:val="21"/>
                            <w:szCs w:val="21"/>
                          </w:rPr>
                          <w:br/>
                        </w:r>
                        <w:r>
                          <w:rPr>
                            <w:rFonts w:ascii="Tahoma" w:eastAsia="Times New Roman" w:hAnsi="Tahoma" w:cs="Tahoma"/>
                            <w:color w:val="303030"/>
                            <w:sz w:val="21"/>
                            <w:szCs w:val="21"/>
                          </w:rPr>
                          <w:br/>
                        </w:r>
                        <w:hyperlink r:id="rId13" w:tgtFrame="_blank" w:history="1">
                          <w:r>
                            <w:rPr>
                              <w:rStyle w:val="Hyperlink"/>
                              <w:rFonts w:ascii="Tahoma" w:eastAsia="Times New Roman" w:hAnsi="Tahoma" w:cs="Tahoma"/>
                              <w:b/>
                              <w:bCs/>
                              <w:color w:val="4E3487"/>
                              <w:sz w:val="21"/>
                              <w:szCs w:val="21"/>
                            </w:rPr>
                            <w:t>Read more about the changes to the Drug Tariff</w:t>
                          </w:r>
                        </w:hyperlink>
                      </w:p>
                    </w:tc>
                    <w:tc>
                      <w:tcPr>
                        <w:tcW w:w="150" w:type="dxa"/>
                        <w:vAlign w:val="center"/>
                        <w:hideMark/>
                      </w:tcPr>
                      <w:p w14:paraId="526DA122" w14:textId="77777777" w:rsidR="00724A29" w:rsidRDefault="00724A29">
                        <w:pPr>
                          <w:rPr>
                            <w:rFonts w:ascii="Tahoma" w:eastAsia="Times New Roman" w:hAnsi="Tahoma" w:cs="Tahoma"/>
                            <w:color w:val="303030"/>
                            <w:sz w:val="21"/>
                            <w:szCs w:val="21"/>
                          </w:rPr>
                        </w:pPr>
                      </w:p>
                    </w:tc>
                  </w:tr>
                  <w:tr w:rsidR="00724A29" w14:paraId="5750A54E" w14:textId="77777777">
                    <w:trPr>
                      <w:trHeight w:val="150"/>
                      <w:tblCellSpacing w:w="15" w:type="dxa"/>
                      <w:jc w:val="center"/>
                    </w:trPr>
                    <w:tc>
                      <w:tcPr>
                        <w:tcW w:w="150" w:type="dxa"/>
                        <w:vAlign w:val="center"/>
                        <w:hideMark/>
                      </w:tcPr>
                      <w:p w14:paraId="6501D39B" w14:textId="77777777" w:rsidR="00724A29" w:rsidRDefault="00724A29">
                        <w:pPr>
                          <w:rPr>
                            <w:rFonts w:ascii="Times New Roman" w:eastAsia="Times New Roman" w:hAnsi="Times New Roman" w:cs="Times New Roman"/>
                            <w:sz w:val="20"/>
                            <w:szCs w:val="20"/>
                          </w:rPr>
                        </w:pPr>
                      </w:p>
                    </w:tc>
                    <w:tc>
                      <w:tcPr>
                        <w:tcW w:w="8700" w:type="dxa"/>
                        <w:vAlign w:val="center"/>
                        <w:hideMark/>
                      </w:tcPr>
                      <w:p w14:paraId="121FBCCD" w14:textId="77777777" w:rsidR="00724A29" w:rsidRDefault="00724A29">
                        <w:pPr>
                          <w:rPr>
                            <w:rFonts w:ascii="Times New Roman" w:eastAsia="Times New Roman" w:hAnsi="Times New Roman" w:cs="Times New Roman"/>
                            <w:sz w:val="20"/>
                            <w:szCs w:val="20"/>
                          </w:rPr>
                        </w:pPr>
                      </w:p>
                    </w:tc>
                    <w:tc>
                      <w:tcPr>
                        <w:tcW w:w="150" w:type="dxa"/>
                        <w:vAlign w:val="center"/>
                        <w:hideMark/>
                      </w:tcPr>
                      <w:p w14:paraId="669AAFA1" w14:textId="77777777" w:rsidR="00724A29" w:rsidRDefault="00724A29">
                        <w:pPr>
                          <w:rPr>
                            <w:rFonts w:ascii="Times New Roman" w:eastAsia="Times New Roman" w:hAnsi="Times New Roman" w:cs="Times New Roman"/>
                            <w:sz w:val="20"/>
                            <w:szCs w:val="20"/>
                          </w:rPr>
                        </w:pPr>
                      </w:p>
                    </w:tc>
                  </w:tr>
                </w:tbl>
                <w:p w14:paraId="4BE277CE" w14:textId="77777777" w:rsidR="00724A29" w:rsidRDefault="00724A29">
                  <w:pPr>
                    <w:jc w:val="center"/>
                    <w:rPr>
                      <w:rFonts w:ascii="Times New Roman" w:eastAsia="Times New Roman" w:hAnsi="Times New Roman" w:cs="Times New Roman"/>
                      <w:sz w:val="20"/>
                      <w:szCs w:val="20"/>
                    </w:rPr>
                  </w:pPr>
                </w:p>
              </w:tc>
            </w:tr>
          </w:tbl>
          <w:p w14:paraId="04C9DF21" w14:textId="77777777" w:rsidR="00724A29" w:rsidRDefault="00724A29">
            <w:pPr>
              <w:jc w:val="center"/>
              <w:rPr>
                <w:rFonts w:ascii="Times New Roman" w:eastAsia="Times New Roman" w:hAnsi="Times New Roman" w:cs="Times New Roman"/>
                <w:sz w:val="20"/>
                <w:szCs w:val="20"/>
              </w:rPr>
            </w:pPr>
          </w:p>
        </w:tc>
      </w:tr>
      <w:tr w:rsidR="00724A29" w14:paraId="59DC3D74" w14:textId="77777777" w:rsidTr="00724A29">
        <w:trPr>
          <w:tblCellSpacing w:w="0" w:type="dxa"/>
          <w:jc w:val="center"/>
        </w:trPr>
        <w:tc>
          <w:tcPr>
            <w:tcW w:w="0" w:type="auto"/>
            <w:shd w:val="clear" w:color="auto" w:fill="FFFFFF"/>
            <w:hideMark/>
          </w:tcPr>
          <w:tbl>
            <w:tblPr>
              <w:tblW w:w="3000" w:type="dxa"/>
              <w:jc w:val="center"/>
              <w:tblCellSpacing w:w="0" w:type="dxa"/>
              <w:shd w:val="clear" w:color="auto" w:fill="4E3487"/>
              <w:tblCellMar>
                <w:left w:w="0" w:type="dxa"/>
                <w:right w:w="0" w:type="dxa"/>
              </w:tblCellMar>
              <w:tblLook w:val="04A0" w:firstRow="1" w:lastRow="0" w:firstColumn="1" w:lastColumn="0" w:noHBand="0" w:noVBand="1"/>
            </w:tblPr>
            <w:tblGrid>
              <w:gridCol w:w="9000"/>
            </w:tblGrid>
            <w:tr w:rsidR="00724A29" w14:paraId="5EFF9C93" w14:textId="77777777">
              <w:trPr>
                <w:tblCellSpacing w:w="0" w:type="dxa"/>
                <w:jc w:val="center"/>
              </w:trPr>
              <w:tc>
                <w:tcPr>
                  <w:tcW w:w="0" w:type="auto"/>
                  <w:shd w:val="clear" w:color="auto" w:fill="4E3487"/>
                  <w:vAlign w:val="center"/>
                  <w:hideMark/>
                </w:tcPr>
                <w:tbl>
                  <w:tblPr>
                    <w:tblW w:w="9000" w:type="dxa"/>
                    <w:jc w:val="center"/>
                    <w:tblCellSpacing w:w="0" w:type="dxa"/>
                    <w:tblCellMar>
                      <w:left w:w="0" w:type="dxa"/>
                      <w:right w:w="0" w:type="dxa"/>
                    </w:tblCellMar>
                    <w:tblLook w:val="04A0" w:firstRow="1" w:lastRow="0" w:firstColumn="1" w:lastColumn="0" w:noHBand="0" w:noVBand="1"/>
                  </w:tblPr>
                  <w:tblGrid>
                    <w:gridCol w:w="9000"/>
                  </w:tblGrid>
                  <w:tr w:rsidR="00724A29" w14:paraId="1145C590" w14:textId="77777777">
                    <w:trPr>
                      <w:tblCellSpacing w:w="0" w:type="dxa"/>
                      <w:jc w:val="center"/>
                    </w:trPr>
                    <w:tc>
                      <w:tcPr>
                        <w:tcW w:w="3000" w:type="dxa"/>
                        <w:tcMar>
                          <w:top w:w="30" w:type="dxa"/>
                          <w:left w:w="75" w:type="dxa"/>
                          <w:bottom w:w="30" w:type="dxa"/>
                          <w:right w:w="75" w:type="dxa"/>
                        </w:tcMar>
                        <w:hideMark/>
                      </w:tcPr>
                      <w:p w14:paraId="3DA41DD5" w14:textId="77777777" w:rsidR="00724A29" w:rsidRDefault="00724A29">
                        <w:pPr>
                          <w:pStyle w:val="Heading4"/>
                          <w:jc w:val="center"/>
                          <w:rPr>
                            <w:rFonts w:eastAsia="Times New Roman"/>
                          </w:rPr>
                        </w:pPr>
                        <w:r>
                          <w:rPr>
                            <w:rFonts w:eastAsia="Times New Roman"/>
                          </w:rPr>
                          <w:lastRenderedPageBreak/>
                          <w:t>Pharmaceutical Services Negotiating Committee</w:t>
                        </w:r>
                      </w:p>
                      <w:p w14:paraId="5C1946E0" w14:textId="70D107B1" w:rsidR="00724A29" w:rsidRDefault="00724A29">
                        <w:pPr>
                          <w:jc w:val="center"/>
                          <w:rPr>
                            <w:rFonts w:ascii="Tahoma" w:eastAsia="Times New Roman" w:hAnsi="Tahoma" w:cs="Tahoma"/>
                            <w:color w:val="FFFFFF"/>
                            <w:sz w:val="18"/>
                            <w:szCs w:val="18"/>
                          </w:rPr>
                        </w:pPr>
                        <w:r>
                          <w:rPr>
                            <w:rFonts w:ascii="Tahoma" w:eastAsia="Times New Roman" w:hAnsi="Tahoma" w:cs="Tahoma"/>
                            <w:b/>
                            <w:noProof/>
                            <w:color w:val="FFFFFF"/>
                            <w:sz w:val="18"/>
                            <w:szCs w:val="18"/>
                          </w:rPr>
                          <w:drawing>
                            <wp:inline distT="0" distB="0" distL="0" distR="0" wp14:anchorId="7B9D2564" wp14:editId="72E25B2F">
                              <wp:extent cx="609600" cy="304800"/>
                              <wp:effectExtent l="0" t="0" r="0" b="0"/>
                              <wp:docPr id="5" name="Picture 5" descr="Graphical user interface&#10;&#10;Description automatically generated">
                                <a:hlinkClick xmlns:a="http://schemas.openxmlformats.org/drawingml/2006/main" r:id="rId14"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Graphical user interface&#10;&#10;Description automatically generated">
                                        <a:hlinkClick r:id="rId14" tgtFrame="_blank"/>
                                      </pic:cNvPr>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bwMode="auto">
                                      <a:xfrm>
                                        <a:off x="0" y="0"/>
                                        <a:ext cx="609600" cy="304800"/>
                                      </a:xfrm>
                                      <a:prstGeom prst="rect">
                                        <a:avLst/>
                                      </a:prstGeom>
                                      <a:noFill/>
                                      <a:ln>
                                        <a:noFill/>
                                      </a:ln>
                                    </pic:spPr>
                                  </pic:pic>
                                </a:graphicData>
                              </a:graphic>
                            </wp:inline>
                          </w:drawing>
                        </w:r>
                        <w:r>
                          <w:rPr>
                            <w:rFonts w:ascii="Tahoma" w:eastAsia="Times New Roman" w:hAnsi="Tahoma" w:cs="Tahoma"/>
                            <w:color w:val="FFFFFF"/>
                            <w:sz w:val="18"/>
                            <w:szCs w:val="18"/>
                          </w:rPr>
                          <w:t> </w:t>
                        </w:r>
                        <w:r>
                          <w:rPr>
                            <w:rFonts w:ascii="Tahoma" w:eastAsia="Times New Roman" w:hAnsi="Tahoma" w:cs="Tahoma"/>
                            <w:b/>
                            <w:noProof/>
                            <w:color w:val="FFFFFF"/>
                            <w:sz w:val="18"/>
                            <w:szCs w:val="18"/>
                          </w:rPr>
                          <w:drawing>
                            <wp:inline distT="0" distB="0" distL="0" distR="0" wp14:anchorId="56B06609" wp14:editId="123FA073">
                              <wp:extent cx="609600" cy="304800"/>
                              <wp:effectExtent l="0" t="0" r="0" b="0"/>
                              <wp:docPr id="4" name="Picture 4" descr="Graphical user interface&#10;&#10;Description automatically generated">
                                <a:hlinkClick xmlns:a="http://schemas.openxmlformats.org/drawingml/2006/main" r:id="rId17"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Graphical user interface&#10;&#10;Description automatically generated">
                                        <a:hlinkClick r:id="rId17" tgtFrame="_blank"/>
                                      </pic:cNvPr>
                                      <pic:cNvPicPr>
                                        <a:picLocks noChangeAspect="1" noChangeArrowheads="1"/>
                                      </pic:cNvPicPr>
                                    </pic:nvPicPr>
                                    <pic:blipFill>
                                      <a:blip r:embed="rId18" r:link="rId19">
                                        <a:extLst>
                                          <a:ext uri="{28A0092B-C50C-407E-A947-70E740481C1C}">
                                            <a14:useLocalDpi xmlns:a14="http://schemas.microsoft.com/office/drawing/2010/main" val="0"/>
                                          </a:ext>
                                        </a:extLst>
                                      </a:blip>
                                      <a:srcRect/>
                                      <a:stretch>
                                        <a:fillRect/>
                                      </a:stretch>
                                    </pic:blipFill>
                                    <pic:spPr bwMode="auto">
                                      <a:xfrm>
                                        <a:off x="0" y="0"/>
                                        <a:ext cx="609600" cy="304800"/>
                                      </a:xfrm>
                                      <a:prstGeom prst="rect">
                                        <a:avLst/>
                                      </a:prstGeom>
                                      <a:noFill/>
                                      <a:ln>
                                        <a:noFill/>
                                      </a:ln>
                                    </pic:spPr>
                                  </pic:pic>
                                </a:graphicData>
                              </a:graphic>
                            </wp:inline>
                          </w:drawing>
                        </w:r>
                        <w:r>
                          <w:rPr>
                            <w:rFonts w:ascii="Tahoma" w:eastAsia="Times New Roman" w:hAnsi="Tahoma" w:cs="Tahoma"/>
                            <w:color w:val="FFFFFF"/>
                            <w:sz w:val="18"/>
                            <w:szCs w:val="18"/>
                          </w:rPr>
                          <w:t> </w:t>
                        </w:r>
                        <w:r>
                          <w:rPr>
                            <w:rFonts w:ascii="Tahoma" w:eastAsia="Times New Roman" w:hAnsi="Tahoma" w:cs="Tahoma"/>
                            <w:b/>
                            <w:noProof/>
                            <w:color w:val="FFFFFF"/>
                            <w:sz w:val="18"/>
                            <w:szCs w:val="18"/>
                          </w:rPr>
                          <w:drawing>
                            <wp:inline distT="0" distB="0" distL="0" distR="0" wp14:anchorId="48475916" wp14:editId="5454A542">
                              <wp:extent cx="609600" cy="304800"/>
                              <wp:effectExtent l="0" t="0" r="0" b="0"/>
                              <wp:docPr id="3" name="Picture 3" descr="Graphical user interface&#10;&#10;Description automatically generated">
                                <a:hlinkClick xmlns:a="http://schemas.openxmlformats.org/drawingml/2006/main" r:id="rId20"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Graphical user interface&#10;&#10;Description automatically generated">
                                        <a:hlinkClick r:id="rId20" tgtFrame="_blank"/>
                                      </pic:cNvPr>
                                      <pic:cNvPicPr>
                                        <a:picLocks noChangeAspect="1" noChangeArrowheads="1"/>
                                      </pic:cNvPicPr>
                                    </pic:nvPicPr>
                                    <pic:blipFill>
                                      <a:blip r:embed="rId21" r:link="rId22">
                                        <a:extLst>
                                          <a:ext uri="{28A0092B-C50C-407E-A947-70E740481C1C}">
                                            <a14:useLocalDpi xmlns:a14="http://schemas.microsoft.com/office/drawing/2010/main" val="0"/>
                                          </a:ext>
                                        </a:extLst>
                                      </a:blip>
                                      <a:srcRect/>
                                      <a:stretch>
                                        <a:fillRect/>
                                      </a:stretch>
                                    </pic:blipFill>
                                    <pic:spPr bwMode="auto">
                                      <a:xfrm>
                                        <a:off x="0" y="0"/>
                                        <a:ext cx="609600" cy="304800"/>
                                      </a:xfrm>
                                      <a:prstGeom prst="rect">
                                        <a:avLst/>
                                      </a:prstGeom>
                                      <a:noFill/>
                                      <a:ln>
                                        <a:noFill/>
                                      </a:ln>
                                    </pic:spPr>
                                  </pic:pic>
                                </a:graphicData>
                              </a:graphic>
                            </wp:inline>
                          </w:drawing>
                        </w:r>
                        <w:r>
                          <w:rPr>
                            <w:rFonts w:ascii="Tahoma" w:eastAsia="Times New Roman" w:hAnsi="Tahoma" w:cs="Tahoma"/>
                            <w:color w:val="FFFFFF"/>
                            <w:sz w:val="18"/>
                            <w:szCs w:val="18"/>
                          </w:rPr>
                          <w:t> </w:t>
                        </w:r>
                        <w:r>
                          <w:rPr>
                            <w:rFonts w:ascii="Tahoma" w:eastAsia="Times New Roman" w:hAnsi="Tahoma" w:cs="Tahoma"/>
                            <w:b/>
                            <w:noProof/>
                            <w:color w:val="FFFFFF"/>
                            <w:sz w:val="18"/>
                            <w:szCs w:val="18"/>
                          </w:rPr>
                          <w:drawing>
                            <wp:inline distT="0" distB="0" distL="0" distR="0" wp14:anchorId="74317775" wp14:editId="1F2EB605">
                              <wp:extent cx="609600" cy="304800"/>
                              <wp:effectExtent l="0" t="0" r="0" b="0"/>
                              <wp:docPr id="2" name="Picture 2" descr="Graphical user interface&#10;&#10;Description automatically generated">
                                <a:hlinkClick xmlns:a="http://schemas.openxmlformats.org/drawingml/2006/main" r:id="rId23"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10;&#10;Description automatically generated">
                                        <a:hlinkClick r:id="rId23" tgtFrame="_blank"/>
                                      </pic:cNvPr>
                                      <pic:cNvPicPr>
                                        <a:picLocks noChangeAspect="1" noChangeArrowheads="1"/>
                                      </pic:cNvPicPr>
                                    </pic:nvPicPr>
                                    <pic:blipFill>
                                      <a:blip r:embed="rId24" r:link="rId25">
                                        <a:extLst>
                                          <a:ext uri="{28A0092B-C50C-407E-A947-70E740481C1C}">
                                            <a14:useLocalDpi xmlns:a14="http://schemas.microsoft.com/office/drawing/2010/main" val="0"/>
                                          </a:ext>
                                        </a:extLst>
                                      </a:blip>
                                      <a:srcRect/>
                                      <a:stretch>
                                        <a:fillRect/>
                                      </a:stretch>
                                    </pic:blipFill>
                                    <pic:spPr bwMode="auto">
                                      <a:xfrm>
                                        <a:off x="0" y="0"/>
                                        <a:ext cx="609600" cy="304800"/>
                                      </a:xfrm>
                                      <a:prstGeom prst="rect">
                                        <a:avLst/>
                                      </a:prstGeom>
                                      <a:noFill/>
                                      <a:ln>
                                        <a:noFill/>
                                      </a:ln>
                                    </pic:spPr>
                                  </pic:pic>
                                </a:graphicData>
                              </a:graphic>
                            </wp:inline>
                          </w:drawing>
                        </w:r>
                        <w:r>
                          <w:rPr>
                            <w:rFonts w:ascii="Tahoma" w:eastAsia="Times New Roman" w:hAnsi="Tahoma" w:cs="Tahoma"/>
                            <w:color w:val="FFFFFF"/>
                            <w:sz w:val="18"/>
                            <w:szCs w:val="18"/>
                          </w:rPr>
                          <w:t xml:space="preserve"> </w:t>
                        </w:r>
                      </w:p>
                      <w:p w14:paraId="50C0D8B0" w14:textId="77777777" w:rsidR="00724A29" w:rsidRDefault="00724A29">
                        <w:pPr>
                          <w:jc w:val="center"/>
                          <w:rPr>
                            <w:rFonts w:ascii="Tahoma" w:eastAsia="Times New Roman" w:hAnsi="Tahoma" w:cs="Tahoma"/>
                            <w:color w:val="FFFFFF"/>
                            <w:sz w:val="18"/>
                            <w:szCs w:val="18"/>
                          </w:rPr>
                        </w:pPr>
                        <w:r>
                          <w:rPr>
                            <w:rFonts w:ascii="Tahoma" w:eastAsia="Times New Roman" w:hAnsi="Tahoma" w:cs="Tahoma"/>
                            <w:color w:val="FFFFFF"/>
                            <w:sz w:val="18"/>
                            <w:szCs w:val="18"/>
                          </w:rPr>
                          <w:t>14 Hosier Lane, London, EC1A 9LQ</w:t>
                        </w:r>
                        <w:r>
                          <w:rPr>
                            <w:rFonts w:ascii="Tahoma" w:eastAsia="Times New Roman" w:hAnsi="Tahoma" w:cs="Tahoma"/>
                            <w:color w:val="FFFFFF"/>
                            <w:sz w:val="18"/>
                            <w:szCs w:val="18"/>
                          </w:rPr>
                          <w:br/>
                          <w:t>Tel: 0203 1220 810 | Email: </w:t>
                        </w:r>
                        <w:hyperlink r:id="rId26" w:tgtFrame="_blank" w:history="1">
                          <w:r>
                            <w:rPr>
                              <w:rStyle w:val="Hyperlink"/>
                              <w:rFonts w:ascii="Tahoma" w:eastAsia="Times New Roman" w:hAnsi="Tahoma" w:cs="Tahoma"/>
                              <w:b/>
                              <w:bCs/>
                              <w:color w:val="FFFFFF"/>
                              <w:sz w:val="18"/>
                              <w:szCs w:val="18"/>
                            </w:rPr>
                            <w:t>info@psnc.org.uk</w:t>
                          </w:r>
                        </w:hyperlink>
                        <w:r>
                          <w:rPr>
                            <w:rFonts w:ascii="Tahoma" w:eastAsia="Times New Roman" w:hAnsi="Tahoma" w:cs="Tahoma"/>
                            <w:color w:val="FFFFFF"/>
                            <w:sz w:val="18"/>
                            <w:szCs w:val="18"/>
                          </w:rPr>
                          <w:t xml:space="preserve"> </w:t>
                        </w:r>
                      </w:p>
                    </w:tc>
                  </w:tr>
                  <w:tr w:rsidR="00724A29" w14:paraId="18E34042" w14:textId="77777777" w:rsidTr="00724A29">
                    <w:trPr>
                      <w:trHeight w:val="20"/>
                      <w:tblCellSpacing w:w="0" w:type="dxa"/>
                      <w:jc w:val="center"/>
                    </w:trPr>
                    <w:tc>
                      <w:tcPr>
                        <w:tcW w:w="9000" w:type="dxa"/>
                        <w:tcMar>
                          <w:top w:w="150" w:type="dxa"/>
                          <w:left w:w="0" w:type="dxa"/>
                          <w:bottom w:w="0" w:type="dxa"/>
                          <w:right w:w="0" w:type="dxa"/>
                        </w:tcMar>
                        <w:vAlign w:val="center"/>
                        <w:hideMark/>
                      </w:tcPr>
                      <w:p w14:paraId="3CB8CED3" w14:textId="3DD5C8F5" w:rsidR="00724A29" w:rsidRDefault="00724A29" w:rsidP="00724A29">
                        <w:pPr>
                          <w:rPr>
                            <w:rFonts w:ascii="Arial" w:eastAsia="Times New Roman" w:hAnsi="Arial" w:cs="Arial"/>
                            <w:color w:val="FFFFFF"/>
                            <w:sz w:val="17"/>
                            <w:szCs w:val="17"/>
                          </w:rPr>
                        </w:pPr>
                      </w:p>
                    </w:tc>
                  </w:tr>
                </w:tbl>
                <w:p w14:paraId="6124E204" w14:textId="77777777" w:rsidR="00724A29" w:rsidRDefault="00724A29">
                  <w:pPr>
                    <w:jc w:val="center"/>
                    <w:rPr>
                      <w:rFonts w:ascii="Times New Roman" w:eastAsia="Times New Roman" w:hAnsi="Times New Roman" w:cs="Times New Roman"/>
                      <w:sz w:val="20"/>
                      <w:szCs w:val="20"/>
                    </w:rPr>
                  </w:pPr>
                </w:p>
              </w:tc>
            </w:tr>
          </w:tbl>
          <w:p w14:paraId="0F26AD8A" w14:textId="77777777" w:rsidR="00724A29" w:rsidRDefault="00724A29">
            <w:pPr>
              <w:jc w:val="center"/>
              <w:rPr>
                <w:rFonts w:ascii="Times New Roman" w:eastAsia="Times New Roman" w:hAnsi="Times New Roman" w:cs="Times New Roman"/>
                <w:sz w:val="20"/>
                <w:szCs w:val="20"/>
              </w:rPr>
            </w:pPr>
          </w:p>
        </w:tc>
      </w:tr>
    </w:tbl>
    <w:p w14:paraId="712E7F6D" w14:textId="6D60578D" w:rsidR="00724A29" w:rsidRDefault="00724A29" w:rsidP="00724A29">
      <w:pPr>
        <w:rPr>
          <w:rFonts w:eastAsia="Times New Roman"/>
        </w:rPr>
      </w:pPr>
      <w:r>
        <w:rPr>
          <w:rFonts w:eastAsia="Times New Roman"/>
          <w:noProof/>
        </w:rPr>
        <w:drawing>
          <wp:inline distT="0" distB="0" distL="0" distR="0" wp14:anchorId="28C0B4DF" wp14:editId="68C51FC2">
            <wp:extent cx="9525" cy="95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7" r:link="rId2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7B255CA6" w14:textId="77777777" w:rsidR="00DD1890" w:rsidRDefault="00DD1890"/>
    <w:sectPr w:rsidR="00DD189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4A29"/>
    <w:rsid w:val="00724A29"/>
    <w:rsid w:val="00DD18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EDE2C5"/>
  <w15:chartTrackingRefBased/>
  <w15:docId w15:val="{770A2080-354B-46D0-AB1A-6104B392B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4A29"/>
    <w:rPr>
      <w:rFonts w:ascii="Calibri" w:hAnsi="Calibri" w:cs="Calibri"/>
      <w:lang w:eastAsia="en-GB"/>
    </w:rPr>
  </w:style>
  <w:style w:type="paragraph" w:styleId="Heading1">
    <w:name w:val="heading 1"/>
    <w:basedOn w:val="Normal"/>
    <w:link w:val="Heading1Char"/>
    <w:uiPriority w:val="9"/>
    <w:qFormat/>
    <w:rsid w:val="00724A29"/>
    <w:pPr>
      <w:spacing w:after="75" w:line="264" w:lineRule="auto"/>
      <w:outlineLvl w:val="0"/>
    </w:pPr>
    <w:rPr>
      <w:rFonts w:ascii="Tahoma" w:hAnsi="Tahoma" w:cs="Tahoma"/>
      <w:b/>
      <w:bCs/>
      <w:color w:val="4E3487"/>
      <w:kern w:val="36"/>
      <w:sz w:val="54"/>
      <w:szCs w:val="54"/>
    </w:rPr>
  </w:style>
  <w:style w:type="paragraph" w:styleId="Heading2">
    <w:name w:val="heading 2"/>
    <w:basedOn w:val="Normal"/>
    <w:link w:val="Heading2Char"/>
    <w:uiPriority w:val="9"/>
    <w:semiHidden/>
    <w:unhideWhenUsed/>
    <w:qFormat/>
    <w:rsid w:val="00724A29"/>
    <w:pPr>
      <w:spacing w:after="75" w:line="264" w:lineRule="auto"/>
      <w:outlineLvl w:val="1"/>
    </w:pPr>
    <w:rPr>
      <w:rFonts w:ascii="Tahoma" w:hAnsi="Tahoma" w:cs="Tahoma"/>
      <w:b/>
      <w:bCs/>
      <w:color w:val="4E3487"/>
      <w:sz w:val="30"/>
      <w:szCs w:val="30"/>
    </w:rPr>
  </w:style>
  <w:style w:type="paragraph" w:styleId="Heading3">
    <w:name w:val="heading 3"/>
    <w:basedOn w:val="Normal"/>
    <w:link w:val="Heading3Char"/>
    <w:uiPriority w:val="9"/>
    <w:semiHidden/>
    <w:unhideWhenUsed/>
    <w:qFormat/>
    <w:rsid w:val="00724A29"/>
    <w:pPr>
      <w:spacing w:after="75" w:line="264" w:lineRule="auto"/>
      <w:outlineLvl w:val="2"/>
    </w:pPr>
    <w:rPr>
      <w:rFonts w:ascii="Tahoma" w:hAnsi="Tahoma" w:cs="Tahoma"/>
      <w:b/>
      <w:bCs/>
      <w:color w:val="4E3487"/>
      <w:sz w:val="27"/>
      <w:szCs w:val="27"/>
    </w:rPr>
  </w:style>
  <w:style w:type="paragraph" w:styleId="Heading4">
    <w:name w:val="heading 4"/>
    <w:basedOn w:val="Normal"/>
    <w:link w:val="Heading4Char"/>
    <w:uiPriority w:val="9"/>
    <w:semiHidden/>
    <w:unhideWhenUsed/>
    <w:qFormat/>
    <w:rsid w:val="00724A29"/>
    <w:pPr>
      <w:spacing w:after="75" w:line="264" w:lineRule="auto"/>
      <w:outlineLvl w:val="3"/>
    </w:pPr>
    <w:rPr>
      <w:rFonts w:ascii="Tahoma" w:hAnsi="Tahoma" w:cs="Tahoma"/>
      <w:b/>
      <w:bCs/>
      <w:color w:val="FFFFFF"/>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24A29"/>
    <w:rPr>
      <w:rFonts w:ascii="Tahoma" w:hAnsi="Tahoma" w:cs="Tahoma"/>
      <w:b/>
      <w:bCs/>
      <w:color w:val="4E3487"/>
      <w:kern w:val="36"/>
      <w:sz w:val="54"/>
      <w:szCs w:val="54"/>
      <w:lang w:eastAsia="en-GB"/>
    </w:rPr>
  </w:style>
  <w:style w:type="character" w:customStyle="1" w:styleId="Heading2Char">
    <w:name w:val="Heading 2 Char"/>
    <w:basedOn w:val="DefaultParagraphFont"/>
    <w:link w:val="Heading2"/>
    <w:uiPriority w:val="9"/>
    <w:semiHidden/>
    <w:rsid w:val="00724A29"/>
    <w:rPr>
      <w:rFonts w:ascii="Tahoma" w:hAnsi="Tahoma" w:cs="Tahoma"/>
      <w:b/>
      <w:bCs/>
      <w:color w:val="4E3487"/>
      <w:sz w:val="30"/>
      <w:szCs w:val="30"/>
      <w:lang w:eastAsia="en-GB"/>
    </w:rPr>
  </w:style>
  <w:style w:type="character" w:customStyle="1" w:styleId="Heading3Char">
    <w:name w:val="Heading 3 Char"/>
    <w:basedOn w:val="DefaultParagraphFont"/>
    <w:link w:val="Heading3"/>
    <w:uiPriority w:val="9"/>
    <w:semiHidden/>
    <w:rsid w:val="00724A29"/>
    <w:rPr>
      <w:rFonts w:ascii="Tahoma" w:hAnsi="Tahoma" w:cs="Tahoma"/>
      <w:b/>
      <w:bCs/>
      <w:color w:val="4E3487"/>
      <w:sz w:val="27"/>
      <w:szCs w:val="27"/>
      <w:lang w:eastAsia="en-GB"/>
    </w:rPr>
  </w:style>
  <w:style w:type="character" w:customStyle="1" w:styleId="Heading4Char">
    <w:name w:val="Heading 4 Char"/>
    <w:basedOn w:val="DefaultParagraphFont"/>
    <w:link w:val="Heading4"/>
    <w:uiPriority w:val="9"/>
    <w:semiHidden/>
    <w:rsid w:val="00724A29"/>
    <w:rPr>
      <w:rFonts w:ascii="Tahoma" w:hAnsi="Tahoma" w:cs="Tahoma"/>
      <w:b/>
      <w:bCs/>
      <w:color w:val="FFFFFF"/>
      <w:sz w:val="18"/>
      <w:szCs w:val="18"/>
      <w:lang w:eastAsia="en-GB"/>
    </w:rPr>
  </w:style>
  <w:style w:type="paragraph" w:styleId="NormalWeb">
    <w:name w:val="Normal (Web)"/>
    <w:basedOn w:val="Normal"/>
    <w:uiPriority w:val="99"/>
    <w:semiHidden/>
    <w:unhideWhenUsed/>
    <w:rsid w:val="00724A29"/>
    <w:pPr>
      <w:spacing w:before="100" w:beforeAutospacing="1" w:after="100" w:afterAutospacing="1"/>
    </w:pPr>
  </w:style>
  <w:style w:type="character" w:styleId="Strong">
    <w:name w:val="Strong"/>
    <w:basedOn w:val="DefaultParagraphFont"/>
    <w:uiPriority w:val="22"/>
    <w:qFormat/>
    <w:rsid w:val="00724A29"/>
    <w:rPr>
      <w:b/>
      <w:bCs/>
    </w:rPr>
  </w:style>
  <w:style w:type="character" w:styleId="Hyperlink">
    <w:name w:val="Hyperlink"/>
    <w:basedOn w:val="DefaultParagraphFont"/>
    <w:uiPriority w:val="99"/>
    <w:semiHidden/>
    <w:unhideWhenUsed/>
    <w:rsid w:val="00724A2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307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snc.us7.list-manage.com/track/click?u=86d41ab7fa4c7c2c5d7210782&amp;id=8eb196b270&amp;e=d19e9fd41c" TargetMode="External"/><Relationship Id="rId13" Type="http://schemas.openxmlformats.org/officeDocument/2006/relationships/hyperlink" Target="https://psnc.us7.list-manage.com/track/click?u=86d41ab7fa4c7c2c5d7210782&amp;id=2dc42b6aed&amp;e=d19e9fd41c" TargetMode="External"/><Relationship Id="rId18" Type="http://schemas.openxmlformats.org/officeDocument/2006/relationships/image" Target="media/image4.png"/><Relationship Id="rId26" Type="http://schemas.openxmlformats.org/officeDocument/2006/relationships/hyperlink" Target="mailto:info@psnc.org.uk" TargetMode="External"/><Relationship Id="rId3" Type="http://schemas.openxmlformats.org/officeDocument/2006/relationships/webSettings" Target="webSettings.xml"/><Relationship Id="rId21" Type="http://schemas.openxmlformats.org/officeDocument/2006/relationships/image" Target="media/image5.png"/><Relationship Id="rId7" Type="http://schemas.openxmlformats.org/officeDocument/2006/relationships/image" Target="http://psnc.org.uk/wp-content/uploads/2013/11/Newsletter-style-bar.png" TargetMode="External"/><Relationship Id="rId12" Type="http://schemas.openxmlformats.org/officeDocument/2006/relationships/hyperlink" Target="https://psnc.us7.list-manage.com/track/click?u=86d41ab7fa4c7c2c5d7210782&amp;id=edd1bff3b4&amp;e=d19e9fd41c" TargetMode="External"/><Relationship Id="rId17" Type="http://schemas.openxmlformats.org/officeDocument/2006/relationships/hyperlink" Target="https://psnc.us7.list-manage.com/track/click?u=86d41ab7fa4c7c2c5d7210782&amp;id=6a696ab885&amp;e=d19e9fd41c" TargetMode="External"/><Relationship Id="rId25" Type="http://schemas.openxmlformats.org/officeDocument/2006/relationships/image" Target="https://gallery.mailchimp.com/86d41ab7fa4c7c2c5d7210782/images/f5c0845f-f39c-425d-8d3c-deff11493c50.png" TargetMode="External"/><Relationship Id="rId2" Type="http://schemas.openxmlformats.org/officeDocument/2006/relationships/settings" Target="settings.xml"/><Relationship Id="rId16" Type="http://schemas.openxmlformats.org/officeDocument/2006/relationships/image" Target="https://gallery.mailchimp.com/86d41ab7fa4c7c2c5d7210782/images/5acd9cf1-bdba-4039-b74f-638b444ff5d8.png" TargetMode="External"/><Relationship Id="rId20" Type="http://schemas.openxmlformats.org/officeDocument/2006/relationships/hyperlink" Target="https://psnc.us7.list-manage.com/track/click?u=86d41ab7fa4c7c2c5d7210782&amp;id=adf4b1f9cf&amp;e=d19e9fd41c" TargetMode="External"/><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hyperlink" Target="https://psnc.us7.list-manage.com/track/click?u=86d41ab7fa4c7c2c5d7210782&amp;id=60b1690311&amp;e=d19e9fd41c" TargetMode="External"/><Relationship Id="rId24" Type="http://schemas.openxmlformats.org/officeDocument/2006/relationships/image" Target="media/image6.png"/><Relationship Id="rId5" Type="http://schemas.openxmlformats.org/officeDocument/2006/relationships/image" Target="https://gallery.mailchimp.com/86d41ab7fa4c7c2c5d7210782/images/001d399a-96a4-4e1f-b905-a21d530b5d29.jpg" TargetMode="External"/><Relationship Id="rId15" Type="http://schemas.openxmlformats.org/officeDocument/2006/relationships/image" Target="media/image3.png"/><Relationship Id="rId23" Type="http://schemas.openxmlformats.org/officeDocument/2006/relationships/hyperlink" Target="https://psnc.us7.list-manage.com/track/click?u=86d41ab7fa4c7c2c5d7210782&amp;id=1543a8de62&amp;e=d19e9fd41c" TargetMode="External"/><Relationship Id="rId28" Type="http://schemas.openxmlformats.org/officeDocument/2006/relationships/image" Target="https://psnc.us7.list-manage.com/track/open.php?u=86d41ab7fa4c7c2c5d7210782&amp;id=7c98aefa3c&amp;e=d19e9fd41c" TargetMode="External"/><Relationship Id="rId10" Type="http://schemas.openxmlformats.org/officeDocument/2006/relationships/hyperlink" Target="https://psnc.us7.list-manage.com/track/click?u=86d41ab7fa4c7c2c5d7210782&amp;id=ceb93684c0&amp;e=d19e9fd41c" TargetMode="External"/><Relationship Id="rId19" Type="http://schemas.openxmlformats.org/officeDocument/2006/relationships/image" Target="https://gallery.mailchimp.com/86d41ab7fa4c7c2c5d7210782/images/e1475f6b-1081-4509-ab25-9cd7f83d26b2.png" TargetMode="External"/><Relationship Id="rId4" Type="http://schemas.openxmlformats.org/officeDocument/2006/relationships/image" Target="media/image1.jpeg"/><Relationship Id="rId9" Type="http://schemas.openxmlformats.org/officeDocument/2006/relationships/hyperlink" Target="https://psnc.us7.list-manage.com/track/click?u=86d41ab7fa4c7c2c5d7210782&amp;id=6266e00784&amp;e=d19e9fd41c" TargetMode="External"/><Relationship Id="rId14" Type="http://schemas.openxmlformats.org/officeDocument/2006/relationships/hyperlink" Target="https://psnc.us7.list-manage.com/track/click?u=86d41ab7fa4c7c2c5d7210782&amp;id=76c90e0147&amp;e=d19e9fd41c" TargetMode="External"/><Relationship Id="rId22" Type="http://schemas.openxmlformats.org/officeDocument/2006/relationships/image" Target="https://gallery.mailchimp.com/86d41ab7fa4c7c2c5d7210782/images/cd088afd-0ac0-4498-8ed1-e4199bf882ce.png" TargetMode="External"/><Relationship Id="rId27" Type="http://schemas.openxmlformats.org/officeDocument/2006/relationships/image" Target="media/image7.gif"/><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578</Words>
  <Characters>3301</Characters>
  <Application>Microsoft Office Word</Application>
  <DocSecurity>0</DocSecurity>
  <Lines>27</Lines>
  <Paragraphs>7</Paragraphs>
  <ScaleCrop>false</ScaleCrop>
  <Company/>
  <LinksUpToDate>false</LinksUpToDate>
  <CharactersWithSpaces>3872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Freemantle</dc:creator>
  <cp:keywords/>
  <dc:description/>
  <cp:lastModifiedBy>Alison Freemantle</cp:lastModifiedBy>
  <cp:revision>1</cp:revision>
  <dcterms:created xsi:type="dcterms:W3CDTF">2022-03-01T08:08:00Z</dcterms:created>
  <dcterms:modified xsi:type="dcterms:W3CDTF">2022-03-01T08:10:00Z</dcterms:modified>
</cp:coreProperties>
</file>