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079F9" w14:paraId="02E34ED0" w14:textId="77777777" w:rsidTr="009079F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079F9" w14:paraId="74AF56C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079F9" w14:paraId="0D151B06" w14:textId="77777777">
                    <w:trPr>
                      <w:tblCellSpacing w:w="0" w:type="dxa"/>
                      <w:jc w:val="center"/>
                    </w:trPr>
                    <w:tc>
                      <w:tcPr>
                        <w:tcW w:w="3000" w:type="dxa"/>
                        <w:hideMark/>
                      </w:tcPr>
                      <w:p w14:paraId="539B6F99" w14:textId="76818D70" w:rsidR="009079F9" w:rsidRDefault="00C64C8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DBA71DE" w14:textId="77777777" w:rsidR="009079F9" w:rsidRDefault="009079F9">
                  <w:pPr>
                    <w:jc w:val="center"/>
                    <w:rPr>
                      <w:rFonts w:ascii="Times New Roman" w:eastAsia="Times New Roman" w:hAnsi="Times New Roman" w:cs="Times New Roman"/>
                      <w:sz w:val="20"/>
                      <w:szCs w:val="20"/>
                    </w:rPr>
                  </w:pPr>
                </w:p>
              </w:tc>
            </w:tr>
            <w:tr w:rsidR="009079F9" w14:paraId="5AD03C2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079F9" w14:paraId="0C301C0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4B9EFC5" w14:textId="2B700810" w:rsidR="009079F9" w:rsidRDefault="009079F9">
                        <w:pPr>
                          <w:jc w:val="center"/>
                          <w:rPr>
                            <w:rFonts w:eastAsia="Times New Roman"/>
                          </w:rPr>
                        </w:pPr>
                        <w:r>
                          <w:rPr>
                            <w:rFonts w:eastAsia="Times New Roman"/>
                            <w:noProof/>
                          </w:rPr>
                          <w:drawing>
                            <wp:inline distT="0" distB="0" distL="0" distR="0" wp14:anchorId="57122EBC" wp14:editId="595EF87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079F9" w14:paraId="4C15CB01" w14:textId="77777777">
                    <w:trPr>
                      <w:tblCellSpacing w:w="0" w:type="dxa"/>
                    </w:trPr>
                    <w:tc>
                      <w:tcPr>
                        <w:tcW w:w="0" w:type="auto"/>
                        <w:vMerge/>
                        <w:tcBorders>
                          <w:top w:val="nil"/>
                          <w:left w:val="nil"/>
                          <w:bottom w:val="single" w:sz="2" w:space="0" w:color="FFFFFF"/>
                          <w:right w:val="nil"/>
                        </w:tcBorders>
                        <w:vAlign w:val="center"/>
                        <w:hideMark/>
                      </w:tcPr>
                      <w:p w14:paraId="2CAF181F" w14:textId="77777777" w:rsidR="009079F9" w:rsidRDefault="009079F9">
                        <w:pPr>
                          <w:rPr>
                            <w:rFonts w:eastAsia="Times New Roman"/>
                          </w:rPr>
                        </w:pPr>
                      </w:p>
                    </w:tc>
                    <w:tc>
                      <w:tcPr>
                        <w:tcW w:w="3450" w:type="dxa"/>
                        <w:tcBorders>
                          <w:top w:val="nil"/>
                          <w:left w:val="nil"/>
                          <w:bottom w:val="nil"/>
                          <w:right w:val="nil"/>
                        </w:tcBorders>
                        <w:vAlign w:val="center"/>
                        <w:hideMark/>
                      </w:tcPr>
                      <w:p w14:paraId="543D3B39" w14:textId="77777777" w:rsidR="009079F9" w:rsidRDefault="009079F9">
                        <w:pPr>
                          <w:pStyle w:val="Heading1"/>
                          <w:rPr>
                            <w:rFonts w:eastAsia="Times New Roman"/>
                          </w:rPr>
                        </w:pPr>
                        <w:r>
                          <w:rPr>
                            <w:rFonts w:eastAsia="Times New Roman"/>
                          </w:rPr>
                          <w:t>PSNC Newsletter</w:t>
                        </w:r>
                      </w:p>
                    </w:tc>
                  </w:tr>
                  <w:tr w:rsidR="009079F9" w14:paraId="5448064B" w14:textId="77777777">
                    <w:trPr>
                      <w:tblCellSpacing w:w="0" w:type="dxa"/>
                    </w:trPr>
                    <w:tc>
                      <w:tcPr>
                        <w:tcW w:w="0" w:type="auto"/>
                        <w:vMerge/>
                        <w:tcBorders>
                          <w:top w:val="nil"/>
                          <w:left w:val="nil"/>
                          <w:bottom w:val="single" w:sz="2" w:space="0" w:color="FFFFFF"/>
                          <w:right w:val="nil"/>
                        </w:tcBorders>
                        <w:vAlign w:val="center"/>
                        <w:hideMark/>
                      </w:tcPr>
                      <w:p w14:paraId="7B19C245" w14:textId="77777777" w:rsidR="009079F9" w:rsidRDefault="009079F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63EDA43" w14:textId="77777777" w:rsidR="009079F9" w:rsidRDefault="009079F9">
                        <w:pPr>
                          <w:pStyle w:val="Heading2"/>
                          <w:rPr>
                            <w:rFonts w:eastAsia="Times New Roman"/>
                            <w:color w:val="93378A"/>
                          </w:rPr>
                        </w:pPr>
                        <w:r>
                          <w:rPr>
                            <w:rFonts w:eastAsia="Times New Roman"/>
                            <w:color w:val="93378A"/>
                          </w:rPr>
                          <w:t>Wednesday 26th January 2022</w:t>
                        </w:r>
                      </w:p>
                    </w:tc>
                  </w:tr>
                </w:tbl>
                <w:p w14:paraId="6A264FCC" w14:textId="77777777" w:rsidR="009079F9" w:rsidRDefault="009079F9">
                  <w:pPr>
                    <w:rPr>
                      <w:rFonts w:ascii="Times New Roman" w:eastAsia="Times New Roman" w:hAnsi="Times New Roman" w:cs="Times New Roman"/>
                      <w:sz w:val="20"/>
                      <w:szCs w:val="20"/>
                    </w:rPr>
                  </w:pPr>
                </w:p>
              </w:tc>
            </w:tr>
            <w:tr w:rsidR="009079F9" w14:paraId="1FA89207" w14:textId="77777777">
              <w:tblPrEx>
                <w:shd w:val="clear" w:color="auto" w:fill="auto"/>
              </w:tblPrEx>
              <w:trPr>
                <w:tblCellSpacing w:w="0" w:type="dxa"/>
                <w:jc w:val="center"/>
              </w:trPr>
              <w:tc>
                <w:tcPr>
                  <w:tcW w:w="9000" w:type="dxa"/>
                  <w:hideMark/>
                </w:tcPr>
                <w:p w14:paraId="01A12F84" w14:textId="271804CB" w:rsidR="009079F9" w:rsidRDefault="009079F9">
                  <w:pPr>
                    <w:rPr>
                      <w:rFonts w:eastAsia="Times New Roman"/>
                    </w:rPr>
                  </w:pPr>
                  <w:r>
                    <w:rPr>
                      <w:rFonts w:eastAsia="Times New Roman"/>
                      <w:noProof/>
                    </w:rPr>
                    <w:drawing>
                      <wp:inline distT="0" distB="0" distL="0" distR="0" wp14:anchorId="6F97B40B" wp14:editId="01CCC11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079F9" w14:paraId="24CF344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8"/>
                    <w:gridCol w:w="191"/>
                  </w:tblGrid>
                  <w:tr w:rsidR="009079F9" w14:paraId="7C5FB864" w14:textId="77777777">
                    <w:trPr>
                      <w:trHeight w:val="150"/>
                      <w:tblCellSpacing w:w="15" w:type="dxa"/>
                      <w:jc w:val="center"/>
                    </w:trPr>
                    <w:tc>
                      <w:tcPr>
                        <w:tcW w:w="150" w:type="dxa"/>
                        <w:vAlign w:val="center"/>
                        <w:hideMark/>
                      </w:tcPr>
                      <w:p w14:paraId="20F6DD6E" w14:textId="77777777" w:rsidR="009079F9" w:rsidRDefault="009079F9">
                        <w:pPr>
                          <w:rPr>
                            <w:rFonts w:eastAsia="Times New Roman"/>
                          </w:rPr>
                        </w:pPr>
                      </w:p>
                    </w:tc>
                    <w:tc>
                      <w:tcPr>
                        <w:tcW w:w="8700" w:type="dxa"/>
                        <w:vAlign w:val="center"/>
                        <w:hideMark/>
                      </w:tcPr>
                      <w:p w14:paraId="39997D7F" w14:textId="77777777" w:rsidR="009079F9" w:rsidRDefault="009079F9">
                        <w:pPr>
                          <w:rPr>
                            <w:rFonts w:ascii="Times New Roman" w:eastAsia="Times New Roman" w:hAnsi="Times New Roman" w:cs="Times New Roman"/>
                            <w:sz w:val="20"/>
                            <w:szCs w:val="20"/>
                          </w:rPr>
                        </w:pPr>
                      </w:p>
                    </w:tc>
                    <w:tc>
                      <w:tcPr>
                        <w:tcW w:w="150" w:type="dxa"/>
                        <w:vAlign w:val="center"/>
                        <w:hideMark/>
                      </w:tcPr>
                      <w:p w14:paraId="507039A1" w14:textId="77777777" w:rsidR="009079F9" w:rsidRDefault="009079F9">
                        <w:pPr>
                          <w:rPr>
                            <w:rFonts w:ascii="Times New Roman" w:eastAsia="Times New Roman" w:hAnsi="Times New Roman" w:cs="Times New Roman"/>
                            <w:sz w:val="20"/>
                            <w:szCs w:val="20"/>
                          </w:rPr>
                        </w:pPr>
                      </w:p>
                    </w:tc>
                  </w:tr>
                  <w:tr w:rsidR="009079F9" w14:paraId="0BA81C6E" w14:textId="77777777">
                    <w:trPr>
                      <w:tblCellSpacing w:w="15" w:type="dxa"/>
                      <w:jc w:val="center"/>
                    </w:trPr>
                    <w:tc>
                      <w:tcPr>
                        <w:tcW w:w="150" w:type="dxa"/>
                        <w:vAlign w:val="center"/>
                        <w:hideMark/>
                      </w:tcPr>
                      <w:p w14:paraId="7F31CB89" w14:textId="77777777" w:rsidR="009079F9" w:rsidRDefault="009079F9">
                        <w:pPr>
                          <w:rPr>
                            <w:rFonts w:ascii="Times New Roman" w:eastAsia="Times New Roman" w:hAnsi="Times New Roman" w:cs="Times New Roman"/>
                            <w:sz w:val="20"/>
                            <w:szCs w:val="20"/>
                          </w:rPr>
                        </w:pPr>
                      </w:p>
                    </w:tc>
                    <w:tc>
                      <w:tcPr>
                        <w:tcW w:w="8700" w:type="dxa"/>
                        <w:vAlign w:val="center"/>
                        <w:hideMark/>
                      </w:tcPr>
                      <w:p w14:paraId="345A46AC" w14:textId="77777777" w:rsidR="009079F9" w:rsidRDefault="009079F9">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65610BA" w14:textId="77777777" w:rsidR="009079F9" w:rsidRDefault="009079F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9E2EA5B">
                            <v:rect id="_x0000_i1032" style="width:468pt;height:1.5pt" o:hralign="center" o:hrstd="t" o:hr="t" fillcolor="#a0a0a0" stroked="f"/>
                          </w:pict>
                        </w:r>
                      </w:p>
                      <w:p w14:paraId="2ECC53B0" w14:textId="77777777" w:rsidR="009079F9" w:rsidRDefault="009079F9">
                        <w:pPr>
                          <w:pStyle w:val="Heading2"/>
                          <w:rPr>
                            <w:rFonts w:eastAsia="Times New Roman"/>
                          </w:rPr>
                        </w:pPr>
                        <w:r>
                          <w:rPr>
                            <w:rFonts w:eastAsia="Times New Roman"/>
                          </w:rPr>
                          <w:t>In this update: Pharmacy Advice Audit starts soon; LFD supply update; new SSP issued; IPC guidance reminder.</w:t>
                        </w:r>
                      </w:p>
                      <w:p w14:paraId="6FB34F8A" w14:textId="77777777" w:rsidR="009079F9" w:rsidRDefault="009079F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1456F51">
                            <v:rect id="_x0000_i1033" style="width:468pt;height:1.5pt" o:hralign="center" o:hrstd="t" o:hr="t" fillcolor="#a0a0a0" stroked="f"/>
                          </w:pict>
                        </w:r>
                      </w:p>
                      <w:p w14:paraId="4CFF61B6" w14:textId="77777777" w:rsidR="009079F9" w:rsidRDefault="009079F9" w:rsidP="00C64C84">
                        <w:pPr>
                          <w:pStyle w:val="Heading3"/>
                          <w:spacing w:after="0"/>
                          <w:rPr>
                            <w:rFonts w:eastAsia="Times New Roman"/>
                          </w:rPr>
                        </w:pPr>
                        <w:r>
                          <w:rPr>
                            <w:rFonts w:eastAsia="Times New Roman"/>
                          </w:rPr>
                          <w:t>Pharmacy Advice Audit 2022: Starts next week</w:t>
                        </w:r>
                      </w:p>
                      <w:p w14:paraId="7C545144" w14:textId="75F42069" w:rsidR="009079F9" w:rsidRDefault="009079F9" w:rsidP="00C64C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and their teams are reminded that PSNC’s third Pharmacy Advice Audit is due to be held in w/c 31st January 2022. The audit results will help demonstrate how pharmacies are supporting their communities every day and assist PSNC in gathering critical evidence for use in our funding discussions with HM Government and the NHS.</w:t>
                        </w:r>
                        <w:r>
                          <w:rPr>
                            <w:rFonts w:ascii="Tahoma" w:eastAsia="Times New Roman" w:hAnsi="Tahoma" w:cs="Tahoma"/>
                            <w:color w:val="303030"/>
                            <w:sz w:val="21"/>
                            <w:szCs w:val="21"/>
                          </w:rPr>
                          <w:br/>
                        </w:r>
                        <w:r>
                          <w:rPr>
                            <w:rFonts w:ascii="Tahoma" w:eastAsia="Times New Roman" w:hAnsi="Tahoma" w:cs="Tahoma"/>
                            <w:color w:val="303030"/>
                            <w:sz w:val="21"/>
                            <w:szCs w:val="21"/>
                          </w:rPr>
                          <w:br/>
                          <w:t>As in previous years, the audit has been designed to be as straightforward as possible, and it can be carried out in just a single day in the week commencing Monday 31st January. </w:t>
                        </w:r>
                        <w:r>
                          <w:rPr>
                            <w:rFonts w:ascii="Tahoma" w:eastAsia="Times New Roman" w:hAnsi="Tahoma" w:cs="Tahoma"/>
                            <w:color w:val="303030"/>
                            <w:sz w:val="21"/>
                            <w:szCs w:val="21"/>
                          </w:rPr>
                          <w:br/>
                        </w:r>
                        <w:r>
                          <w:rPr>
                            <w:rFonts w:ascii="Tahoma" w:eastAsia="Times New Roman" w:hAnsi="Tahoma" w:cs="Tahoma"/>
                            <w:color w:val="303030"/>
                            <w:sz w:val="21"/>
                            <w:szCs w:val="21"/>
                          </w:rPr>
                          <w:br/>
                          <w:t>We hope to receive data from as many pharmacy teams as possible to build a strong evidence base, and would be hugely grateful to anyone who can take part in the audit.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 2022 Pharmacy Advice Audit</w:t>
                          </w:r>
                        </w:hyperlink>
                        <w:r>
                          <w:rPr>
                            <w:rFonts w:ascii="Tahoma" w:eastAsia="Times New Roman" w:hAnsi="Tahoma" w:cs="Tahoma"/>
                            <w:color w:val="303030"/>
                            <w:sz w:val="21"/>
                            <w:szCs w:val="21"/>
                          </w:rPr>
                          <w:t xml:space="preserve"> </w:t>
                        </w:r>
                      </w:p>
                      <w:p w14:paraId="49BE88DA" w14:textId="77777777" w:rsidR="009079F9" w:rsidRDefault="009079F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FCC2A20">
                            <v:rect id="_x0000_i1034" style="width:468pt;height:1.5pt" o:hralign="center" o:hrstd="t" o:hr="t" fillcolor="#a0a0a0" stroked="f"/>
                          </w:pict>
                        </w:r>
                      </w:p>
                      <w:p w14:paraId="2D94E372" w14:textId="77777777" w:rsidR="009079F9" w:rsidRDefault="009079F9">
                        <w:pPr>
                          <w:pStyle w:val="Heading3"/>
                          <w:rPr>
                            <w:rFonts w:eastAsia="Times New Roman"/>
                          </w:rPr>
                        </w:pPr>
                        <w:r>
                          <w:rPr>
                            <w:rFonts w:eastAsia="Times New Roman"/>
                          </w:rPr>
                          <w:t>Additional LFD test stock available</w:t>
                        </w:r>
                      </w:p>
                      <w:p w14:paraId="43E6547F" w14:textId="7E7E7114" w:rsidR="009079F9" w:rsidRDefault="009079F9" w:rsidP="00AA48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Pharmacy Collect team has told PSNC that pharmacy orders for Lateral Flow Device (LFD) test kits in some locations have now decreased. As a result, they </w:t>
                        </w:r>
                        <w:proofErr w:type="gramStart"/>
                        <w:r>
                          <w:rPr>
                            <w:rFonts w:ascii="Tahoma" w:eastAsia="Times New Roman" w:hAnsi="Tahoma" w:cs="Tahoma"/>
                            <w:color w:val="303030"/>
                            <w:sz w:val="21"/>
                            <w:szCs w:val="21"/>
                          </w:rPr>
                          <w:t>are able to</w:t>
                        </w:r>
                        <w:proofErr w:type="gramEnd"/>
                        <w:r>
                          <w:rPr>
                            <w:rFonts w:ascii="Tahoma" w:eastAsia="Times New Roman" w:hAnsi="Tahoma" w:cs="Tahoma"/>
                            <w:color w:val="303030"/>
                            <w:sz w:val="21"/>
                            <w:szCs w:val="21"/>
                          </w:rPr>
                          <w:t xml:space="preserve"> work with Alliance Healthcare to supply extra stock to pharmacies still experiencing higher demand for test kits. </w:t>
                        </w:r>
                      </w:p>
                      <w:p w14:paraId="76445BEF" w14:textId="77777777" w:rsidR="009079F9" w:rsidRDefault="009079F9" w:rsidP="00AA4818">
                        <w:pPr>
                          <w:pStyle w:val="NormalWeb"/>
                          <w:spacing w:line="264" w:lineRule="auto"/>
                          <w:rPr>
                            <w:rFonts w:ascii="Tahoma" w:hAnsi="Tahoma" w:cs="Tahoma"/>
                            <w:color w:val="303030"/>
                            <w:sz w:val="21"/>
                            <w:szCs w:val="21"/>
                          </w:rPr>
                        </w:pPr>
                        <w:r>
                          <w:rPr>
                            <w:rFonts w:ascii="Tahoma" w:hAnsi="Tahoma" w:cs="Tahoma"/>
                            <w:color w:val="303030"/>
                            <w:sz w:val="21"/>
                            <w:szCs w:val="21"/>
                          </w:rPr>
                          <w:t>Community pharmacy contractors requiring extra stocks of LFD test kits for their pharmacies can now request up to three additional cartons of test kits by emailing the Pharmacy Collect team at </w:t>
                        </w:r>
                        <w:hyperlink r:id="rId9" w:tgtFrame="_blank" w:history="1">
                          <w:r>
                            <w:rPr>
                              <w:rStyle w:val="Hyperlink"/>
                              <w:rFonts w:ascii="Tahoma" w:hAnsi="Tahoma" w:cs="Tahoma"/>
                              <w:b/>
                              <w:bCs/>
                              <w:color w:val="4E3487"/>
                              <w:sz w:val="21"/>
                              <w:szCs w:val="21"/>
                            </w:rPr>
                            <w:t>pharmacy.collect.queries@dhsc.gov.uk</w:t>
                          </w:r>
                        </w:hyperlink>
                        <w:r>
                          <w:rPr>
                            <w:rFonts w:ascii="Tahoma" w:hAnsi="Tahoma" w:cs="Tahoma"/>
                            <w:color w:val="303030"/>
                            <w:sz w:val="21"/>
                            <w:szCs w:val="21"/>
                          </w:rPr>
                          <w:t>. Contractors will need to provide the pharmacy name, address, ODS code, Alliance Healthcare customer account number and the number of cartons required, with three cartons being the maximum.</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3787CAD3" w14:textId="77777777" w:rsidR="009079F9" w:rsidRDefault="009079F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678F434">
                            <v:rect id="_x0000_i1035" style="width:468pt;height:1.5pt" o:hralign="center" o:hrstd="t" o:hr="t" fillcolor="#a0a0a0" stroked="f"/>
                          </w:pict>
                        </w:r>
                      </w:p>
                      <w:p w14:paraId="6B9B9ED2" w14:textId="77777777" w:rsidR="00AA4818" w:rsidRDefault="00AA4818">
                        <w:pPr>
                          <w:pStyle w:val="Heading3"/>
                          <w:rPr>
                            <w:rFonts w:eastAsia="Times New Roman"/>
                          </w:rPr>
                        </w:pPr>
                      </w:p>
                      <w:p w14:paraId="5371419C" w14:textId="77777777" w:rsidR="00AA4818" w:rsidRDefault="00AA4818">
                        <w:pPr>
                          <w:pStyle w:val="Heading3"/>
                          <w:rPr>
                            <w:rFonts w:eastAsia="Times New Roman"/>
                          </w:rPr>
                        </w:pPr>
                      </w:p>
                      <w:p w14:paraId="6F7CC2D0" w14:textId="4C28C743" w:rsidR="009079F9" w:rsidRDefault="009079F9">
                        <w:pPr>
                          <w:pStyle w:val="Heading3"/>
                          <w:rPr>
                            <w:rFonts w:eastAsia="Times New Roman"/>
                          </w:rPr>
                        </w:pPr>
                        <w:r>
                          <w:rPr>
                            <w:rFonts w:eastAsia="Times New Roman"/>
                          </w:rPr>
                          <w:lastRenderedPageBreak/>
                          <w:t>New SSP issued</w:t>
                        </w:r>
                      </w:p>
                      <w:p w14:paraId="204A8E51" w14:textId="11B5D324" w:rsidR="009079F9" w:rsidRDefault="009079F9" w:rsidP="00AA48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issued a Serious Shortage Protocol (SSP) for Paracetamol 120mg and 240mg suppositories. </w:t>
                        </w:r>
                        <w:r>
                          <w:rPr>
                            <w:rStyle w:val="Strong"/>
                            <w:rFonts w:ascii="Tahoma" w:eastAsia="Times New Roman" w:hAnsi="Tahoma" w:cs="Tahoma"/>
                            <w:color w:val="303030"/>
                            <w:sz w:val="21"/>
                            <w:szCs w:val="21"/>
                          </w:rPr>
                          <w:t>SSP015</w:t>
                        </w:r>
                        <w:r>
                          <w:rPr>
                            <w:rFonts w:ascii="Tahoma" w:eastAsia="Times New Roman" w:hAnsi="Tahoma" w:cs="Tahoma"/>
                            <w:color w:val="303030"/>
                            <w:sz w:val="21"/>
                            <w:szCs w:val="21"/>
                          </w:rPr>
                          <w:t xml:space="preserve"> provides that for every Paracetamol 120mg or 240mg suppository originally prescribed, one Paracetamol 125mg or 250mg suppository </w:t>
                        </w:r>
                        <w:r>
                          <w:rPr>
                            <w:rStyle w:val="Strong"/>
                            <w:rFonts w:ascii="Tahoma" w:eastAsia="Times New Roman" w:hAnsi="Tahoma" w:cs="Tahoma"/>
                            <w:color w:val="303030"/>
                            <w:sz w:val="21"/>
                            <w:szCs w:val="21"/>
                          </w:rPr>
                          <w:t xml:space="preserve">must </w:t>
                        </w:r>
                        <w:r>
                          <w:rPr>
                            <w:rFonts w:ascii="Tahoma" w:eastAsia="Times New Roman" w:hAnsi="Tahoma" w:cs="Tahoma"/>
                            <w:color w:val="303030"/>
                            <w:sz w:val="21"/>
                            <w:szCs w:val="21"/>
                          </w:rPr>
                          <w:t>be supplied.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 about SSP015</w:t>
                          </w:r>
                        </w:hyperlink>
                        <w:r>
                          <w:rPr>
                            <w:rFonts w:ascii="Tahoma" w:eastAsia="Times New Roman" w:hAnsi="Tahoma" w:cs="Tahoma"/>
                            <w:color w:val="303030"/>
                            <w:sz w:val="21"/>
                            <w:szCs w:val="21"/>
                          </w:rPr>
                          <w:t xml:space="preserve"> </w:t>
                        </w:r>
                      </w:p>
                      <w:p w14:paraId="67426A80" w14:textId="77777777" w:rsidR="009079F9" w:rsidRDefault="009079F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93D4761">
                            <v:rect id="_x0000_i1036" style="width:468pt;height:1.5pt" o:hralign="center" o:hrstd="t" o:hr="t" fillcolor="#a0a0a0" stroked="f"/>
                          </w:pict>
                        </w:r>
                      </w:p>
                      <w:p w14:paraId="79FCAFBA" w14:textId="77777777" w:rsidR="009079F9" w:rsidRDefault="009079F9">
                        <w:pPr>
                          <w:pStyle w:val="Heading3"/>
                          <w:rPr>
                            <w:rFonts w:eastAsia="Times New Roman"/>
                          </w:rPr>
                        </w:pPr>
                        <w:r>
                          <w:rPr>
                            <w:rFonts w:eastAsia="Times New Roman"/>
                          </w:rPr>
                          <w:t>IPC guidance still applies to pharmacies</w:t>
                        </w:r>
                      </w:p>
                      <w:p w14:paraId="6DEE5CBE" w14:textId="0771C2EE" w:rsidR="009079F9" w:rsidRDefault="009079F9" w:rsidP="00AA48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teams that the UK Health Security Agency's (UKHSA's) infection prevention control (IPC) guidance continues to apply to patients and staff within healthcare settings, including community pharmacy, to ensure that everyone is protected. </w:t>
                        </w:r>
                        <w:r>
                          <w:rPr>
                            <w:rFonts w:ascii="Tahoma" w:eastAsia="Times New Roman" w:hAnsi="Tahoma" w:cs="Tahoma"/>
                            <w:color w:val="303030"/>
                            <w:sz w:val="21"/>
                            <w:szCs w:val="21"/>
                          </w:rPr>
                          <w:br/>
                        </w:r>
                        <w:r>
                          <w:rPr>
                            <w:rFonts w:ascii="Tahoma" w:eastAsia="Times New Roman" w:hAnsi="Tahoma" w:cs="Tahoma"/>
                            <w:color w:val="303030"/>
                            <w:sz w:val="21"/>
                            <w:szCs w:val="21"/>
                          </w:rPr>
                          <w:br/>
                          <w:t>Resources supporting the IPC guidance, including posters to use at entrances to notify visitors that they must wear a face covering, are available for download.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Download the IPC guidance resources</w:t>
                          </w:r>
                        </w:hyperlink>
                      </w:p>
                    </w:tc>
                    <w:tc>
                      <w:tcPr>
                        <w:tcW w:w="150" w:type="dxa"/>
                        <w:vAlign w:val="center"/>
                        <w:hideMark/>
                      </w:tcPr>
                      <w:p w14:paraId="6C68CDB2" w14:textId="77777777" w:rsidR="009079F9" w:rsidRDefault="009079F9">
                        <w:pPr>
                          <w:rPr>
                            <w:rFonts w:ascii="Tahoma" w:eastAsia="Times New Roman" w:hAnsi="Tahoma" w:cs="Tahoma"/>
                            <w:color w:val="303030"/>
                            <w:sz w:val="21"/>
                            <w:szCs w:val="21"/>
                          </w:rPr>
                        </w:pPr>
                      </w:p>
                    </w:tc>
                  </w:tr>
                  <w:tr w:rsidR="009079F9" w14:paraId="06B9DABA" w14:textId="77777777">
                    <w:trPr>
                      <w:trHeight w:val="150"/>
                      <w:tblCellSpacing w:w="15" w:type="dxa"/>
                      <w:jc w:val="center"/>
                    </w:trPr>
                    <w:tc>
                      <w:tcPr>
                        <w:tcW w:w="150" w:type="dxa"/>
                        <w:vAlign w:val="center"/>
                        <w:hideMark/>
                      </w:tcPr>
                      <w:p w14:paraId="4B5757B1" w14:textId="77777777" w:rsidR="009079F9" w:rsidRDefault="009079F9">
                        <w:pPr>
                          <w:rPr>
                            <w:rFonts w:ascii="Times New Roman" w:eastAsia="Times New Roman" w:hAnsi="Times New Roman" w:cs="Times New Roman"/>
                            <w:sz w:val="20"/>
                            <w:szCs w:val="20"/>
                          </w:rPr>
                        </w:pPr>
                      </w:p>
                    </w:tc>
                    <w:tc>
                      <w:tcPr>
                        <w:tcW w:w="8700" w:type="dxa"/>
                        <w:vAlign w:val="center"/>
                        <w:hideMark/>
                      </w:tcPr>
                      <w:p w14:paraId="70CBEFD3" w14:textId="77777777" w:rsidR="009079F9" w:rsidRDefault="009079F9">
                        <w:pPr>
                          <w:rPr>
                            <w:rFonts w:ascii="Times New Roman" w:eastAsia="Times New Roman" w:hAnsi="Times New Roman" w:cs="Times New Roman"/>
                            <w:sz w:val="20"/>
                            <w:szCs w:val="20"/>
                          </w:rPr>
                        </w:pPr>
                      </w:p>
                    </w:tc>
                    <w:tc>
                      <w:tcPr>
                        <w:tcW w:w="150" w:type="dxa"/>
                        <w:vAlign w:val="center"/>
                        <w:hideMark/>
                      </w:tcPr>
                      <w:p w14:paraId="5ABC5947" w14:textId="77777777" w:rsidR="009079F9" w:rsidRDefault="009079F9">
                        <w:pPr>
                          <w:rPr>
                            <w:rFonts w:ascii="Times New Roman" w:eastAsia="Times New Roman" w:hAnsi="Times New Roman" w:cs="Times New Roman"/>
                            <w:sz w:val="20"/>
                            <w:szCs w:val="20"/>
                          </w:rPr>
                        </w:pPr>
                      </w:p>
                    </w:tc>
                  </w:tr>
                </w:tbl>
                <w:p w14:paraId="2308D48F" w14:textId="77777777" w:rsidR="009079F9" w:rsidRDefault="009079F9">
                  <w:pPr>
                    <w:jc w:val="center"/>
                    <w:rPr>
                      <w:rFonts w:ascii="Times New Roman" w:eastAsia="Times New Roman" w:hAnsi="Times New Roman" w:cs="Times New Roman"/>
                      <w:sz w:val="20"/>
                      <w:szCs w:val="20"/>
                    </w:rPr>
                  </w:pPr>
                </w:p>
              </w:tc>
            </w:tr>
          </w:tbl>
          <w:p w14:paraId="3C14BEAA" w14:textId="77777777" w:rsidR="009079F9" w:rsidRDefault="009079F9">
            <w:pPr>
              <w:jc w:val="center"/>
              <w:rPr>
                <w:rFonts w:ascii="Times New Roman" w:eastAsia="Times New Roman" w:hAnsi="Times New Roman" w:cs="Times New Roman"/>
                <w:sz w:val="20"/>
                <w:szCs w:val="20"/>
              </w:rPr>
            </w:pPr>
          </w:p>
        </w:tc>
      </w:tr>
      <w:tr w:rsidR="009079F9" w14:paraId="62B19419" w14:textId="77777777" w:rsidTr="009079F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079F9" w14:paraId="5E312F0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079F9" w14:paraId="159656C6" w14:textId="77777777">
                    <w:trPr>
                      <w:tblCellSpacing w:w="0" w:type="dxa"/>
                      <w:jc w:val="center"/>
                    </w:trPr>
                    <w:tc>
                      <w:tcPr>
                        <w:tcW w:w="3000" w:type="dxa"/>
                        <w:tcMar>
                          <w:top w:w="30" w:type="dxa"/>
                          <w:left w:w="75" w:type="dxa"/>
                          <w:bottom w:w="30" w:type="dxa"/>
                          <w:right w:w="75" w:type="dxa"/>
                        </w:tcMar>
                        <w:hideMark/>
                      </w:tcPr>
                      <w:p w14:paraId="655326E0" w14:textId="77777777" w:rsidR="009079F9" w:rsidRDefault="009079F9">
                        <w:pPr>
                          <w:pStyle w:val="Heading4"/>
                          <w:jc w:val="center"/>
                          <w:rPr>
                            <w:rFonts w:eastAsia="Times New Roman"/>
                          </w:rPr>
                        </w:pPr>
                        <w:r>
                          <w:rPr>
                            <w:rFonts w:eastAsia="Times New Roman"/>
                          </w:rPr>
                          <w:lastRenderedPageBreak/>
                          <w:t>Pharmaceutical Services Negotiating Committee</w:t>
                        </w:r>
                      </w:p>
                      <w:p w14:paraId="42074AC0" w14:textId="5987104D" w:rsidR="009079F9" w:rsidRDefault="009079F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EE841F0" wp14:editId="30918423">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3644AA" wp14:editId="6573BB56">
                              <wp:extent cx="609600" cy="304800"/>
                              <wp:effectExtent l="0" t="0" r="0" b="0"/>
                              <wp:docPr id="4" name="Picture 4" descr="Graphical user interface&#10;&#10;Description automatically generate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6" tgtFrame="_blank"/>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FF51B9A" wp14:editId="6EC67DDF">
                              <wp:extent cx="609600" cy="304800"/>
                              <wp:effectExtent l="0" t="0" r="0" b="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30C7BA" wp14:editId="7CC24C2C">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CCB7D65" w14:textId="77777777" w:rsidR="009079F9" w:rsidRDefault="009079F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079F9" w14:paraId="5E283031" w14:textId="77777777" w:rsidTr="00AA4818">
                    <w:trPr>
                      <w:trHeight w:val="20"/>
                      <w:tblCellSpacing w:w="0" w:type="dxa"/>
                      <w:jc w:val="center"/>
                    </w:trPr>
                    <w:tc>
                      <w:tcPr>
                        <w:tcW w:w="9000" w:type="dxa"/>
                        <w:tcMar>
                          <w:top w:w="150" w:type="dxa"/>
                          <w:left w:w="0" w:type="dxa"/>
                          <w:bottom w:w="0" w:type="dxa"/>
                          <w:right w:w="0" w:type="dxa"/>
                        </w:tcMar>
                        <w:vAlign w:val="center"/>
                        <w:hideMark/>
                      </w:tcPr>
                      <w:p w14:paraId="438B9D8E" w14:textId="381D7EB2" w:rsidR="009079F9" w:rsidRDefault="009079F9" w:rsidP="00AA4818">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46CDBF50" w14:textId="77777777" w:rsidR="009079F9" w:rsidRDefault="009079F9">
                  <w:pPr>
                    <w:jc w:val="center"/>
                    <w:rPr>
                      <w:rFonts w:ascii="Times New Roman" w:eastAsia="Times New Roman" w:hAnsi="Times New Roman" w:cs="Times New Roman"/>
                      <w:sz w:val="20"/>
                      <w:szCs w:val="20"/>
                    </w:rPr>
                  </w:pPr>
                </w:p>
              </w:tc>
            </w:tr>
          </w:tbl>
          <w:p w14:paraId="1FE65758" w14:textId="77777777" w:rsidR="009079F9" w:rsidRDefault="009079F9">
            <w:pPr>
              <w:jc w:val="center"/>
              <w:rPr>
                <w:rFonts w:ascii="Times New Roman" w:eastAsia="Times New Roman" w:hAnsi="Times New Roman" w:cs="Times New Roman"/>
                <w:sz w:val="20"/>
                <w:szCs w:val="20"/>
              </w:rPr>
            </w:pPr>
          </w:p>
        </w:tc>
      </w:tr>
    </w:tbl>
    <w:p w14:paraId="518B67B6" w14:textId="6FD257E8" w:rsidR="009079F9" w:rsidRDefault="009079F9" w:rsidP="009079F9">
      <w:pPr>
        <w:rPr>
          <w:rFonts w:eastAsia="Times New Roman"/>
        </w:rPr>
      </w:pPr>
      <w:r>
        <w:rPr>
          <w:rFonts w:eastAsia="Times New Roman"/>
          <w:noProof/>
        </w:rPr>
        <w:drawing>
          <wp:inline distT="0" distB="0" distL="0" distR="0" wp14:anchorId="4F6AE9E2" wp14:editId="337A246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FBB12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F9"/>
    <w:rsid w:val="009079F9"/>
    <w:rsid w:val="00AA4818"/>
    <w:rsid w:val="00C64C8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A8B2"/>
  <w15:chartTrackingRefBased/>
  <w15:docId w15:val="{1712CF87-3480-4655-AF25-C3585350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F9"/>
    <w:rPr>
      <w:rFonts w:ascii="Calibri" w:hAnsi="Calibri" w:cs="Calibri"/>
      <w:lang w:eastAsia="en-GB"/>
    </w:rPr>
  </w:style>
  <w:style w:type="paragraph" w:styleId="Heading1">
    <w:name w:val="heading 1"/>
    <w:basedOn w:val="Normal"/>
    <w:link w:val="Heading1Char"/>
    <w:uiPriority w:val="9"/>
    <w:qFormat/>
    <w:rsid w:val="009079F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079F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9079F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079F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F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079F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9079F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079F9"/>
    <w:rPr>
      <w:rFonts w:ascii="Tahoma" w:hAnsi="Tahoma" w:cs="Tahoma"/>
      <w:b/>
      <w:bCs/>
      <w:color w:val="FFFFFF"/>
      <w:sz w:val="18"/>
      <w:szCs w:val="18"/>
      <w:lang w:eastAsia="en-GB"/>
    </w:rPr>
  </w:style>
  <w:style w:type="paragraph" w:styleId="NormalWeb">
    <w:name w:val="Normal (Web)"/>
    <w:basedOn w:val="Normal"/>
    <w:uiPriority w:val="99"/>
    <w:semiHidden/>
    <w:unhideWhenUsed/>
    <w:rsid w:val="009079F9"/>
    <w:pPr>
      <w:spacing w:before="100" w:beforeAutospacing="1" w:after="100" w:afterAutospacing="1"/>
    </w:pPr>
  </w:style>
  <w:style w:type="character" w:styleId="Strong">
    <w:name w:val="Strong"/>
    <w:basedOn w:val="DefaultParagraphFont"/>
    <w:uiPriority w:val="22"/>
    <w:qFormat/>
    <w:rsid w:val="009079F9"/>
    <w:rPr>
      <w:b/>
      <w:bCs/>
    </w:rPr>
  </w:style>
  <w:style w:type="character" w:styleId="Hyperlink">
    <w:name w:val="Hyperlink"/>
    <w:basedOn w:val="DefaultParagraphFont"/>
    <w:uiPriority w:val="99"/>
    <w:semiHidden/>
    <w:unhideWhenUsed/>
    <w:rsid w:val="00907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2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4e0cac2c5&amp;e=d19e9fd41c" TargetMode="External"/><Relationship Id="rId13" Type="http://schemas.openxmlformats.org/officeDocument/2006/relationships/hyperlink" Target="https://psnc.us7.list-manage.com/track/click?u=86d41ab7fa4c7c2c5d7210782&amp;id=5fce21d7ea&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dbaa650b9&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d90f032fd&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38f05c077&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302bb01754&amp;e=d19e9fd41c" TargetMode="External"/><Relationship Id="rId19" Type="http://schemas.openxmlformats.org/officeDocument/2006/relationships/hyperlink" Target="https://psnc.us7.list-manage.com/track/click?u=86d41ab7fa4c7c2c5d7210782&amp;id=bb04db0438&amp;e=d19e9fd41c" TargetMode="External"/><Relationship Id="rId4" Type="http://schemas.openxmlformats.org/officeDocument/2006/relationships/image" Target="media/image1.jpeg"/><Relationship Id="rId9" Type="http://schemas.openxmlformats.org/officeDocument/2006/relationships/hyperlink" Target="mailto:pharmacy.collect.queries@dhsc.gov.uk"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108c441dc&amp;e=d19e9fd41c" TargetMode="External"/><Relationship Id="rId27" Type="http://schemas.openxmlformats.org/officeDocument/2006/relationships/image" Target="https://psnc.us7.list-manage.com/track/open.php?u=86d41ab7fa4c7c2c5d7210782&amp;id=c94e573bc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2022-01-27T08:14:00Z</dcterms:created>
  <dcterms:modified xsi:type="dcterms:W3CDTF">2022-01-27T08:16:00Z</dcterms:modified>
</cp:coreProperties>
</file>