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2C1E17" w14:paraId="07BE6041" w14:textId="77777777" w:rsidTr="002C1E1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2C1E17" w14:paraId="1800390D"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2C1E17" w14:paraId="60A96D6D" w14:textId="77777777">
                    <w:trPr>
                      <w:tblCellSpacing w:w="0" w:type="dxa"/>
                      <w:jc w:val="center"/>
                    </w:trPr>
                    <w:tc>
                      <w:tcPr>
                        <w:tcW w:w="3000" w:type="dxa"/>
                        <w:hideMark/>
                      </w:tcPr>
                      <w:p w14:paraId="7FBF1584" w14:textId="0B290076" w:rsidR="002C1E17" w:rsidRDefault="00F4468D">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ED7CDD4" w14:textId="77777777" w:rsidR="002C1E17" w:rsidRDefault="002C1E17">
                  <w:pPr>
                    <w:jc w:val="center"/>
                    <w:rPr>
                      <w:rFonts w:ascii="Times New Roman" w:eastAsia="Times New Roman" w:hAnsi="Times New Roman" w:cs="Times New Roman"/>
                      <w:sz w:val="20"/>
                      <w:szCs w:val="20"/>
                    </w:rPr>
                  </w:pPr>
                </w:p>
              </w:tc>
            </w:tr>
            <w:tr w:rsidR="002C1E17" w14:paraId="06C29EC2"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C1E17" w14:paraId="036094B5"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26C23464" w14:textId="75662585" w:rsidR="002C1E17" w:rsidRDefault="002C1E17">
                        <w:pPr>
                          <w:jc w:val="center"/>
                          <w:rPr>
                            <w:rFonts w:eastAsia="Times New Roman"/>
                          </w:rPr>
                        </w:pPr>
                        <w:r>
                          <w:rPr>
                            <w:rFonts w:eastAsia="Times New Roman"/>
                            <w:noProof/>
                          </w:rPr>
                          <w:drawing>
                            <wp:inline distT="0" distB="0" distL="0" distR="0" wp14:anchorId="20F834B3" wp14:editId="50DE260A">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2C1E17" w14:paraId="7CE6D10E" w14:textId="77777777">
                    <w:trPr>
                      <w:tblCellSpacing w:w="0" w:type="dxa"/>
                    </w:trPr>
                    <w:tc>
                      <w:tcPr>
                        <w:tcW w:w="0" w:type="auto"/>
                        <w:vMerge/>
                        <w:tcBorders>
                          <w:top w:val="nil"/>
                          <w:left w:val="nil"/>
                          <w:bottom w:val="single" w:sz="2" w:space="0" w:color="FFFFFF"/>
                          <w:right w:val="nil"/>
                        </w:tcBorders>
                        <w:vAlign w:val="center"/>
                        <w:hideMark/>
                      </w:tcPr>
                      <w:p w14:paraId="2B3595F5" w14:textId="77777777" w:rsidR="002C1E17" w:rsidRDefault="002C1E17">
                        <w:pPr>
                          <w:rPr>
                            <w:rFonts w:eastAsia="Times New Roman"/>
                          </w:rPr>
                        </w:pPr>
                      </w:p>
                    </w:tc>
                    <w:tc>
                      <w:tcPr>
                        <w:tcW w:w="3450" w:type="dxa"/>
                        <w:tcBorders>
                          <w:top w:val="nil"/>
                          <w:left w:val="nil"/>
                          <w:bottom w:val="nil"/>
                          <w:right w:val="nil"/>
                        </w:tcBorders>
                        <w:vAlign w:val="center"/>
                        <w:hideMark/>
                      </w:tcPr>
                      <w:p w14:paraId="41C6A64E" w14:textId="77777777" w:rsidR="002C1E17" w:rsidRDefault="002C1E17">
                        <w:pPr>
                          <w:pStyle w:val="Heading1"/>
                          <w:rPr>
                            <w:rFonts w:eastAsia="Times New Roman"/>
                          </w:rPr>
                        </w:pPr>
                        <w:r>
                          <w:rPr>
                            <w:rFonts w:eastAsia="Times New Roman"/>
                          </w:rPr>
                          <w:t>PSNC Newsletter</w:t>
                        </w:r>
                      </w:p>
                    </w:tc>
                  </w:tr>
                  <w:tr w:rsidR="002C1E17" w14:paraId="2F5AB917" w14:textId="77777777">
                    <w:trPr>
                      <w:tblCellSpacing w:w="0" w:type="dxa"/>
                    </w:trPr>
                    <w:tc>
                      <w:tcPr>
                        <w:tcW w:w="0" w:type="auto"/>
                        <w:vMerge/>
                        <w:tcBorders>
                          <w:top w:val="nil"/>
                          <w:left w:val="nil"/>
                          <w:bottom w:val="single" w:sz="2" w:space="0" w:color="FFFFFF"/>
                          <w:right w:val="nil"/>
                        </w:tcBorders>
                        <w:vAlign w:val="center"/>
                        <w:hideMark/>
                      </w:tcPr>
                      <w:p w14:paraId="3DEEF44E" w14:textId="77777777" w:rsidR="002C1E17" w:rsidRDefault="002C1E17">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31F35AC" w14:textId="77777777" w:rsidR="002C1E17" w:rsidRDefault="002C1E17">
                        <w:pPr>
                          <w:pStyle w:val="Heading2"/>
                          <w:rPr>
                            <w:rFonts w:eastAsia="Times New Roman"/>
                            <w:color w:val="93378A"/>
                          </w:rPr>
                        </w:pPr>
                        <w:r>
                          <w:rPr>
                            <w:rFonts w:eastAsia="Times New Roman"/>
                            <w:color w:val="93378A"/>
                          </w:rPr>
                          <w:t>Monday 24th January 2022</w:t>
                        </w:r>
                      </w:p>
                    </w:tc>
                  </w:tr>
                </w:tbl>
                <w:p w14:paraId="467B6446" w14:textId="77777777" w:rsidR="002C1E17" w:rsidRDefault="002C1E17">
                  <w:pPr>
                    <w:rPr>
                      <w:rFonts w:ascii="Times New Roman" w:eastAsia="Times New Roman" w:hAnsi="Times New Roman" w:cs="Times New Roman"/>
                      <w:sz w:val="20"/>
                      <w:szCs w:val="20"/>
                    </w:rPr>
                  </w:pPr>
                </w:p>
              </w:tc>
            </w:tr>
            <w:tr w:rsidR="002C1E17" w14:paraId="0EAAE350" w14:textId="77777777">
              <w:tblPrEx>
                <w:shd w:val="clear" w:color="auto" w:fill="auto"/>
              </w:tblPrEx>
              <w:trPr>
                <w:tblCellSpacing w:w="0" w:type="dxa"/>
                <w:jc w:val="center"/>
              </w:trPr>
              <w:tc>
                <w:tcPr>
                  <w:tcW w:w="9000" w:type="dxa"/>
                  <w:hideMark/>
                </w:tcPr>
                <w:p w14:paraId="73513D55" w14:textId="7585E2D6" w:rsidR="002C1E17" w:rsidRDefault="002C1E17">
                  <w:pPr>
                    <w:rPr>
                      <w:rFonts w:eastAsia="Times New Roman"/>
                    </w:rPr>
                  </w:pPr>
                  <w:r>
                    <w:rPr>
                      <w:rFonts w:eastAsia="Times New Roman"/>
                      <w:noProof/>
                    </w:rPr>
                    <w:drawing>
                      <wp:inline distT="0" distB="0" distL="0" distR="0" wp14:anchorId="6D0A8DDE" wp14:editId="055DAB6B">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2C1E17" w14:paraId="59593BB8"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2C1E17" w14:paraId="32E61899" w14:textId="77777777">
                    <w:trPr>
                      <w:trHeight w:val="150"/>
                      <w:tblCellSpacing w:w="15" w:type="dxa"/>
                      <w:jc w:val="center"/>
                    </w:trPr>
                    <w:tc>
                      <w:tcPr>
                        <w:tcW w:w="150" w:type="dxa"/>
                        <w:vAlign w:val="center"/>
                        <w:hideMark/>
                      </w:tcPr>
                      <w:p w14:paraId="4CDF2A3C" w14:textId="77777777" w:rsidR="002C1E17" w:rsidRDefault="002C1E17">
                        <w:pPr>
                          <w:rPr>
                            <w:rFonts w:eastAsia="Times New Roman"/>
                          </w:rPr>
                        </w:pPr>
                      </w:p>
                    </w:tc>
                    <w:tc>
                      <w:tcPr>
                        <w:tcW w:w="8700" w:type="dxa"/>
                        <w:vAlign w:val="center"/>
                        <w:hideMark/>
                      </w:tcPr>
                      <w:p w14:paraId="28642627" w14:textId="77777777" w:rsidR="002C1E17" w:rsidRDefault="002C1E17">
                        <w:pPr>
                          <w:rPr>
                            <w:rFonts w:ascii="Times New Roman" w:eastAsia="Times New Roman" w:hAnsi="Times New Roman" w:cs="Times New Roman"/>
                            <w:sz w:val="20"/>
                            <w:szCs w:val="20"/>
                          </w:rPr>
                        </w:pPr>
                      </w:p>
                    </w:tc>
                    <w:tc>
                      <w:tcPr>
                        <w:tcW w:w="150" w:type="dxa"/>
                        <w:vAlign w:val="center"/>
                        <w:hideMark/>
                      </w:tcPr>
                      <w:p w14:paraId="25185E4B" w14:textId="77777777" w:rsidR="002C1E17" w:rsidRDefault="002C1E17">
                        <w:pPr>
                          <w:rPr>
                            <w:rFonts w:ascii="Times New Roman" w:eastAsia="Times New Roman" w:hAnsi="Times New Roman" w:cs="Times New Roman"/>
                            <w:sz w:val="20"/>
                            <w:szCs w:val="20"/>
                          </w:rPr>
                        </w:pPr>
                      </w:p>
                    </w:tc>
                  </w:tr>
                  <w:tr w:rsidR="002C1E17" w14:paraId="270BAA57" w14:textId="77777777">
                    <w:trPr>
                      <w:tblCellSpacing w:w="15" w:type="dxa"/>
                      <w:jc w:val="center"/>
                    </w:trPr>
                    <w:tc>
                      <w:tcPr>
                        <w:tcW w:w="150" w:type="dxa"/>
                        <w:vAlign w:val="center"/>
                        <w:hideMark/>
                      </w:tcPr>
                      <w:p w14:paraId="404A65A5" w14:textId="77777777" w:rsidR="002C1E17" w:rsidRDefault="002C1E17">
                        <w:pPr>
                          <w:rPr>
                            <w:rFonts w:ascii="Times New Roman" w:eastAsia="Times New Roman" w:hAnsi="Times New Roman" w:cs="Times New Roman"/>
                            <w:sz w:val="20"/>
                            <w:szCs w:val="20"/>
                          </w:rPr>
                        </w:pPr>
                      </w:p>
                    </w:tc>
                    <w:tc>
                      <w:tcPr>
                        <w:tcW w:w="8700" w:type="dxa"/>
                        <w:vAlign w:val="center"/>
                        <w:hideMark/>
                      </w:tcPr>
                      <w:p w14:paraId="012A5066" w14:textId="77777777" w:rsidR="002C1E17" w:rsidRDefault="002C1E17" w:rsidP="00F4468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F5B0A48" w14:textId="77777777" w:rsidR="002C1E17" w:rsidRDefault="000A30B9" w:rsidP="00F4468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8F176FF">
                            <v:rect id="_x0000_i1025" style="width:468pt;height:1.5pt" o:hrstd="t" o:hr="t" fillcolor="#a0a0a0" stroked="f"/>
                          </w:pict>
                        </w:r>
                      </w:p>
                      <w:p w14:paraId="72A652F5" w14:textId="77777777" w:rsidR="002C1E17" w:rsidRDefault="002C1E17" w:rsidP="00F4468D">
                        <w:pPr>
                          <w:pStyle w:val="Heading2"/>
                          <w:spacing w:after="0"/>
                          <w:rPr>
                            <w:rFonts w:eastAsia="Times New Roman"/>
                          </w:rPr>
                        </w:pPr>
                        <w:r>
                          <w:rPr>
                            <w:rFonts w:eastAsia="Times New Roman"/>
                          </w:rPr>
                          <w:t>In this update: PSNC Pharmacy Pressures Survey; POCT in community pharmacy guide; expiry of SSP014; </w:t>
                        </w:r>
                        <w:r>
                          <w:rPr>
                            <w:rStyle w:val="Strong"/>
                            <w:rFonts w:eastAsia="Times New Roman"/>
                            <w:b/>
                            <w:bCs/>
                          </w:rPr>
                          <w:t>FAQs on the Hypertension Case-Finding Advanced service.</w:t>
                        </w:r>
                      </w:p>
                      <w:p w14:paraId="71C96E66" w14:textId="77777777" w:rsidR="002C1E17" w:rsidRDefault="000A30B9" w:rsidP="00F4468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26EE1BC">
                            <v:rect id="_x0000_i1026" style="width:468pt;height:1.5pt" o:hrstd="t" o:hr="t" fillcolor="#a0a0a0" stroked="f"/>
                          </w:pict>
                        </w:r>
                      </w:p>
                      <w:p w14:paraId="579D2063" w14:textId="77777777" w:rsidR="002C1E17" w:rsidRDefault="002C1E17" w:rsidP="00F4468D">
                        <w:pPr>
                          <w:pStyle w:val="Heading3"/>
                          <w:spacing w:after="0"/>
                          <w:rPr>
                            <w:rFonts w:eastAsia="Times New Roman"/>
                          </w:rPr>
                        </w:pPr>
                        <w:r>
                          <w:rPr>
                            <w:rFonts w:eastAsia="Times New Roman"/>
                          </w:rPr>
                          <w:t>Is your pharmacy under pressure?</w:t>
                        </w:r>
                      </w:p>
                      <w:p w14:paraId="41F04E01" w14:textId="282CCA9D" w:rsidR="002C1E17" w:rsidRDefault="002C1E17" w:rsidP="00F4468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Last week, PSNC launched two surveys to gather more data on the pressures that everyone working in community pharmacy is under and the impact that this is having. We want to hear from pharmacy team members as well as business owners and head office representatives.</w:t>
                        </w:r>
                        <w:r>
                          <w:rPr>
                            <w:rFonts w:ascii="Tahoma" w:eastAsia="Times New Roman" w:hAnsi="Tahoma" w:cs="Tahoma"/>
                            <w:color w:val="303030"/>
                            <w:sz w:val="21"/>
                            <w:szCs w:val="21"/>
                          </w:rPr>
                          <w:br/>
                        </w:r>
                        <w:r>
                          <w:rPr>
                            <w:rFonts w:ascii="Tahoma" w:eastAsia="Times New Roman" w:hAnsi="Tahoma" w:cs="Tahoma"/>
                            <w:color w:val="303030"/>
                            <w:sz w:val="21"/>
                            <w:szCs w:val="21"/>
                          </w:rPr>
                          <w:br/>
                          <w:t>The results of these surveys will be used in our ongoing discussions with NHS England &amp; NHS Improvement (NHSE&amp;I) and the Department of Health and Social Care (DHSC), and will help us to continue to make pharmacy’s case in conversations with MPs and other external stakeholders.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Complete PSNC's Pharmacy Pressures Survey</w:t>
                          </w:r>
                        </w:hyperlink>
                        <w:r>
                          <w:rPr>
                            <w:rFonts w:ascii="Tahoma" w:eastAsia="Times New Roman" w:hAnsi="Tahoma" w:cs="Tahoma"/>
                            <w:color w:val="303030"/>
                            <w:sz w:val="21"/>
                            <w:szCs w:val="21"/>
                          </w:rPr>
                          <w:t xml:space="preserve"> </w:t>
                        </w:r>
                      </w:p>
                      <w:p w14:paraId="3AED669D" w14:textId="77777777" w:rsidR="002C1E17" w:rsidRDefault="000A30B9" w:rsidP="00F4468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2D6E5FB">
                            <v:rect id="_x0000_i1027" style="width:468pt;height:1.5pt" o:hrstd="t" o:hr="t" fillcolor="#a0a0a0" stroked="f"/>
                          </w:pict>
                        </w:r>
                      </w:p>
                      <w:p w14:paraId="40865E3E" w14:textId="77777777" w:rsidR="002C1E17" w:rsidRDefault="002C1E17" w:rsidP="00F4468D">
                        <w:pPr>
                          <w:pStyle w:val="Heading3"/>
                          <w:spacing w:after="0"/>
                          <w:rPr>
                            <w:rFonts w:eastAsia="Times New Roman"/>
                          </w:rPr>
                        </w:pPr>
                        <w:r>
                          <w:rPr>
                            <w:rFonts w:eastAsia="Times New Roman"/>
                          </w:rPr>
                          <w:t>Point of care testing in community pharmacies guide</w:t>
                        </w:r>
                      </w:p>
                      <w:p w14:paraId="7DDA35C1" w14:textId="0BE5A7BC" w:rsidR="002C1E17" w:rsidRDefault="002C1E17" w:rsidP="00F4468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NHSE&amp;I has published guidance to support commissioners and contractors to develop clinical services that utilise point of care testing (POCT) in community pharmacy settings. This is part of a Five-Year CPCF agreement to explore the use of POCT to help support efforts to tackle antimicrobial resistance.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Read the POCT guidance</w:t>
                          </w:r>
                        </w:hyperlink>
                        <w:r>
                          <w:rPr>
                            <w:rFonts w:ascii="Tahoma" w:eastAsia="Times New Roman" w:hAnsi="Tahoma" w:cs="Tahoma"/>
                            <w:color w:val="303030"/>
                            <w:sz w:val="21"/>
                            <w:szCs w:val="21"/>
                          </w:rPr>
                          <w:t xml:space="preserve"> </w:t>
                        </w:r>
                      </w:p>
                      <w:p w14:paraId="374D2706" w14:textId="77777777" w:rsidR="002C1E17" w:rsidRDefault="000A30B9" w:rsidP="00F4468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9418B40">
                            <v:rect id="_x0000_i1028" style="width:468pt;height:1.5pt" o:hrstd="t" o:hr="t" fillcolor="#a0a0a0" stroked="f"/>
                          </w:pict>
                        </w:r>
                      </w:p>
                      <w:p w14:paraId="25DED90A" w14:textId="77777777" w:rsidR="002C1E17" w:rsidRDefault="002C1E17" w:rsidP="00F4468D">
                        <w:pPr>
                          <w:pStyle w:val="Heading3"/>
                          <w:spacing w:after="0"/>
                          <w:rPr>
                            <w:rFonts w:eastAsia="Times New Roman"/>
                          </w:rPr>
                        </w:pPr>
                        <w:r>
                          <w:rPr>
                            <w:rFonts w:eastAsia="Times New Roman"/>
                          </w:rPr>
                          <w:t>Expiry of SSP014</w:t>
                        </w:r>
                      </w:p>
                      <w:p w14:paraId="1333F85D" w14:textId="77777777" w:rsidR="000A30B9" w:rsidRDefault="002C1E17" w:rsidP="00F4468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Serious Shortage Protocol (SSP), </w:t>
                        </w:r>
                        <w:r>
                          <w:rPr>
                            <w:rStyle w:val="Strong"/>
                            <w:rFonts w:ascii="Tahoma" w:eastAsia="Times New Roman" w:hAnsi="Tahoma" w:cs="Tahoma"/>
                            <w:color w:val="303030"/>
                            <w:sz w:val="21"/>
                            <w:szCs w:val="21"/>
                          </w:rPr>
                          <w:t>SSP014</w:t>
                        </w:r>
                        <w:r>
                          <w:rPr>
                            <w:rFonts w:ascii="Tahoma" w:eastAsia="Times New Roman" w:hAnsi="Tahoma" w:cs="Tahoma"/>
                            <w:color w:val="303030"/>
                            <w:sz w:val="21"/>
                            <w:szCs w:val="21"/>
                          </w:rPr>
                          <w:t xml:space="preserve">, for </w:t>
                        </w:r>
                        <w:proofErr w:type="spellStart"/>
                        <w:r>
                          <w:rPr>
                            <w:rFonts w:ascii="Tahoma" w:eastAsia="Times New Roman" w:hAnsi="Tahoma" w:cs="Tahoma"/>
                            <w:color w:val="303030"/>
                            <w:sz w:val="21"/>
                            <w:szCs w:val="21"/>
                          </w:rPr>
                          <w:t>Salazopyrin</w:t>
                        </w:r>
                        <w:proofErr w:type="spellEnd"/>
                        <w:r>
                          <w:rPr>
                            <w:rFonts w:ascii="Tahoma" w:eastAsia="Times New Roman" w:hAnsi="Tahoma" w:cs="Tahoma"/>
                            <w:color w:val="303030"/>
                            <w:sz w:val="21"/>
                            <w:szCs w:val="21"/>
                          </w:rPr>
                          <w:t xml:space="preserve"> 500mg EN-Tabs, has now expired. As such, prescriptions for </w:t>
                        </w:r>
                        <w:proofErr w:type="spellStart"/>
                        <w:r>
                          <w:rPr>
                            <w:rFonts w:ascii="Tahoma" w:eastAsia="Times New Roman" w:hAnsi="Tahoma" w:cs="Tahoma"/>
                            <w:color w:val="303030"/>
                            <w:sz w:val="21"/>
                            <w:szCs w:val="21"/>
                          </w:rPr>
                          <w:t>Salazopyrin</w:t>
                        </w:r>
                        <w:proofErr w:type="spellEnd"/>
                        <w:r>
                          <w:rPr>
                            <w:rFonts w:ascii="Tahoma" w:eastAsia="Times New Roman" w:hAnsi="Tahoma" w:cs="Tahoma"/>
                            <w:color w:val="303030"/>
                            <w:sz w:val="21"/>
                            <w:szCs w:val="21"/>
                          </w:rPr>
                          <w:t xml:space="preserve"> 500mg EN-Tabs should be dispensed in accordance with the prescription.</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Read PSNC's top tips for submitting SSP claims</w:t>
                          </w:r>
                        </w:hyperlink>
                        <w:r>
                          <w:rPr>
                            <w:rFonts w:ascii="Tahoma" w:eastAsia="Times New Roman" w:hAnsi="Tahoma" w:cs="Tahoma"/>
                            <w:color w:val="303030"/>
                            <w:sz w:val="21"/>
                            <w:szCs w:val="21"/>
                          </w:rPr>
                          <w:br/>
                        </w:r>
                      </w:p>
                      <w:p w14:paraId="61FE4975" w14:textId="77777777" w:rsidR="000A30B9" w:rsidRDefault="000A30B9" w:rsidP="00F4468D">
                        <w:pPr>
                          <w:spacing w:line="264" w:lineRule="auto"/>
                          <w:rPr>
                            <w:rFonts w:ascii="Tahoma" w:eastAsia="Times New Roman" w:hAnsi="Tahoma" w:cs="Tahoma"/>
                            <w:color w:val="303030"/>
                            <w:sz w:val="21"/>
                            <w:szCs w:val="21"/>
                          </w:rPr>
                        </w:pPr>
                      </w:p>
                      <w:p w14:paraId="71390F86" w14:textId="4BCBBC29" w:rsidR="002C1E17" w:rsidRDefault="002C1E17" w:rsidP="00F4468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  </w:t>
                        </w:r>
                      </w:p>
                      <w:tbl>
                        <w:tblPr>
                          <w:tblW w:w="5000" w:type="pct"/>
                          <w:tblCellSpacing w:w="15" w:type="dxa"/>
                          <w:tblCellMar>
                            <w:top w:w="150" w:type="dxa"/>
                            <w:left w:w="150" w:type="dxa"/>
                            <w:bottom w:w="150" w:type="dxa"/>
                            <w:right w:w="150" w:type="dxa"/>
                          </w:tblCellMar>
                          <w:tblLook w:val="04A0" w:firstRow="1" w:lastRow="0" w:firstColumn="1" w:lastColumn="0" w:noHBand="0" w:noVBand="1"/>
                        </w:tblPr>
                        <w:tblGrid>
                          <w:gridCol w:w="8585"/>
                        </w:tblGrid>
                        <w:tr w:rsidR="002C1E17" w14:paraId="14B78A1D" w14:textId="77777777">
                          <w:trPr>
                            <w:tblCellSpacing w:w="15" w:type="dxa"/>
                          </w:trPr>
                          <w:tc>
                            <w:tcPr>
                              <w:tcW w:w="0" w:type="auto"/>
                              <w:shd w:val="clear" w:color="auto" w:fill="4E3487"/>
                              <w:vAlign w:val="center"/>
                              <w:hideMark/>
                            </w:tcPr>
                            <w:p w14:paraId="35157F0B" w14:textId="77777777" w:rsidR="002C1E17" w:rsidRDefault="002C1E17" w:rsidP="00F4468D">
                              <w:pPr>
                                <w:pStyle w:val="Heading3"/>
                                <w:spacing w:after="0"/>
                                <w:rPr>
                                  <w:rFonts w:eastAsia="Times New Roman"/>
                                </w:rPr>
                              </w:pPr>
                              <w:r>
                                <w:rPr>
                                  <w:rFonts w:eastAsia="Times New Roman"/>
                                  <w:color w:val="FFFFFF"/>
                                </w:rPr>
                                <w:lastRenderedPageBreak/>
                                <w:t>Have you seen our latest FAQs?</w:t>
                              </w:r>
                            </w:p>
                          </w:tc>
                        </w:tr>
                      </w:tbl>
                      <w:p w14:paraId="603A2817" w14:textId="77777777" w:rsidR="002C1E17" w:rsidRDefault="002C1E17" w:rsidP="00F4468D">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PSNC's website has </w:t>
                        </w:r>
                        <w:proofErr w:type="gramStart"/>
                        <w:r>
                          <w:rPr>
                            <w:rFonts w:ascii="Tahoma" w:hAnsi="Tahoma" w:cs="Tahoma"/>
                            <w:color w:val="303030"/>
                            <w:sz w:val="21"/>
                            <w:szCs w:val="21"/>
                          </w:rPr>
                          <w:t>a large number of</w:t>
                        </w:r>
                        <w:proofErr w:type="gramEnd"/>
                        <w:r>
                          <w:rPr>
                            <w:rFonts w:ascii="Tahoma" w:hAnsi="Tahoma" w:cs="Tahoma"/>
                            <w:color w:val="303030"/>
                            <w:sz w:val="21"/>
                            <w:szCs w:val="21"/>
                          </w:rPr>
                          <w:t xml:space="preserve"> answers to queries posed by pharmacy contractors, their teams, and LPCs; these are updated on a regular basis. Recent additions on the </w:t>
                        </w:r>
                        <w:r>
                          <w:rPr>
                            <w:rStyle w:val="Strong"/>
                            <w:rFonts w:ascii="Tahoma" w:hAnsi="Tahoma" w:cs="Tahoma"/>
                            <w:color w:val="303030"/>
                            <w:sz w:val="21"/>
                            <w:szCs w:val="21"/>
                          </w:rPr>
                          <w:t>Hypertension Case-Finding Service</w:t>
                        </w:r>
                        <w:r>
                          <w:rPr>
                            <w:rFonts w:ascii="Tahoma" w:hAnsi="Tahoma" w:cs="Tahoma"/>
                            <w:color w:val="303030"/>
                            <w:sz w:val="21"/>
                            <w:szCs w:val="21"/>
                          </w:rPr>
                          <w:t> include:</w:t>
                        </w:r>
                      </w:p>
                      <w:p w14:paraId="1F40FE58" w14:textId="77777777" w:rsidR="000A30B9" w:rsidRDefault="000A30B9" w:rsidP="00F4468D">
                        <w:pPr>
                          <w:pStyle w:val="NormalWeb"/>
                          <w:spacing w:before="0" w:beforeAutospacing="0" w:after="0" w:afterAutospacing="0" w:line="264" w:lineRule="auto"/>
                          <w:rPr>
                            <w:rStyle w:val="Strong"/>
                            <w:rFonts w:ascii="Tahoma" w:hAnsi="Tahoma" w:cs="Tahoma"/>
                            <w:color w:val="303030"/>
                            <w:sz w:val="21"/>
                            <w:szCs w:val="21"/>
                          </w:rPr>
                        </w:pPr>
                      </w:p>
                      <w:p w14:paraId="3220E4FB" w14:textId="1B6A3DD4" w:rsidR="002C1E17" w:rsidRDefault="002C1E17" w:rsidP="00F4468D">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Q. Will any equipment be provided to support the service?</w:t>
                        </w:r>
                        <w:r>
                          <w:rPr>
                            <w:rFonts w:ascii="Tahoma" w:hAnsi="Tahoma" w:cs="Tahoma"/>
                            <w:color w:val="303030"/>
                            <w:sz w:val="21"/>
                            <w:szCs w:val="21"/>
                          </w:rPr>
                          <w:br/>
                        </w:r>
                        <w:r>
                          <w:rPr>
                            <w:rStyle w:val="Strong"/>
                            <w:rFonts w:ascii="Tahoma" w:hAnsi="Tahoma" w:cs="Tahoma"/>
                            <w:color w:val="303030"/>
                            <w:sz w:val="21"/>
                            <w:szCs w:val="21"/>
                          </w:rPr>
                          <w:t>A.</w:t>
                        </w:r>
                        <w:r>
                          <w:rPr>
                            <w:rFonts w:ascii="Tahoma" w:hAnsi="Tahoma" w:cs="Tahoma"/>
                            <w:color w:val="303030"/>
                            <w:sz w:val="21"/>
                            <w:szCs w:val="21"/>
                          </w:rPr>
                          <w:t xml:space="preserve"> The responsibility of purchasing equipment to provide the service sits with the contractor.</w:t>
                        </w:r>
                      </w:p>
                      <w:p w14:paraId="0DA6C3A5" w14:textId="77777777" w:rsidR="000A30B9" w:rsidRDefault="000A30B9" w:rsidP="00F4468D">
                        <w:pPr>
                          <w:pStyle w:val="NormalWeb"/>
                          <w:spacing w:before="0" w:beforeAutospacing="0" w:after="0" w:afterAutospacing="0" w:line="264" w:lineRule="auto"/>
                          <w:rPr>
                            <w:rStyle w:val="Strong"/>
                            <w:rFonts w:ascii="Tahoma" w:hAnsi="Tahoma" w:cs="Tahoma"/>
                            <w:color w:val="303030"/>
                            <w:sz w:val="21"/>
                            <w:szCs w:val="21"/>
                          </w:rPr>
                        </w:pPr>
                      </w:p>
                      <w:p w14:paraId="32FD36DE" w14:textId="51AC51FA" w:rsidR="002C1E17" w:rsidRDefault="002C1E17" w:rsidP="00F4468D">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Q. Is there any reimbursement for the purchase of the equipment as the set-up fee does not cover equipment costs?</w:t>
                        </w:r>
                        <w:r>
                          <w:rPr>
                            <w:rFonts w:ascii="Tahoma" w:hAnsi="Tahoma" w:cs="Tahoma"/>
                            <w:color w:val="303030"/>
                            <w:sz w:val="21"/>
                            <w:szCs w:val="21"/>
                          </w:rPr>
                          <w:br/>
                        </w:r>
                        <w:r>
                          <w:rPr>
                            <w:rStyle w:val="Strong"/>
                            <w:rFonts w:ascii="Tahoma" w:hAnsi="Tahoma" w:cs="Tahoma"/>
                            <w:color w:val="303030"/>
                            <w:sz w:val="21"/>
                            <w:szCs w:val="21"/>
                          </w:rPr>
                          <w:t>A.</w:t>
                        </w:r>
                        <w:r>
                          <w:rPr>
                            <w:rFonts w:ascii="Tahoma" w:hAnsi="Tahoma" w:cs="Tahoma"/>
                            <w:color w:val="303030"/>
                            <w:sz w:val="21"/>
                            <w:szCs w:val="21"/>
                          </w:rPr>
                          <w:t xml:space="preserve"> The incentive fees that have been negotiated as part of the service are intended to help contractors fund the capital cost of purchasing a suitable clinic BP meter and an Ambulatory Blood Pressure Monitor</w:t>
                        </w:r>
                        <w:r>
                          <w:rPr>
                            <w:rStyle w:val="Strong"/>
                            <w:rFonts w:ascii="Tahoma" w:hAnsi="Tahoma" w:cs="Tahoma"/>
                            <w:color w:val="303030"/>
                            <w:sz w:val="21"/>
                            <w:szCs w:val="21"/>
                          </w:rPr>
                          <w:t> </w:t>
                        </w:r>
                        <w:r>
                          <w:rPr>
                            <w:rFonts w:ascii="Tahoma" w:hAnsi="Tahoma" w:cs="Tahoma"/>
                            <w:color w:val="303030"/>
                            <w:sz w:val="21"/>
                            <w:szCs w:val="21"/>
                          </w:rPr>
                          <w:t xml:space="preserve">(ABPM). Pharmacies </w:t>
                        </w:r>
                        <w:r>
                          <w:rPr>
                            <w:rStyle w:val="Strong"/>
                            <w:rFonts w:ascii="Tahoma" w:hAnsi="Tahoma" w:cs="Tahoma"/>
                            <w:color w:val="303030"/>
                            <w:sz w:val="21"/>
                            <w:szCs w:val="21"/>
                          </w:rPr>
                          <w:t xml:space="preserve">must </w:t>
                        </w:r>
                        <w:r>
                          <w:rPr>
                            <w:rFonts w:ascii="Tahoma" w:hAnsi="Tahoma" w:cs="Tahoma"/>
                            <w:color w:val="303030"/>
                            <w:sz w:val="21"/>
                            <w:szCs w:val="21"/>
                          </w:rPr>
                          <w:t>reach a threshold of ABPM activity each year to trigger the payment of the incentive fee.</w:t>
                        </w:r>
                      </w:p>
                      <w:p w14:paraId="3F372219" w14:textId="77777777" w:rsidR="000A30B9" w:rsidRDefault="000A30B9" w:rsidP="00F4468D">
                        <w:pPr>
                          <w:pStyle w:val="NormalWeb"/>
                          <w:spacing w:before="0" w:beforeAutospacing="0" w:after="0" w:afterAutospacing="0" w:line="264" w:lineRule="auto"/>
                          <w:rPr>
                            <w:rStyle w:val="Strong"/>
                            <w:rFonts w:ascii="Tahoma" w:hAnsi="Tahoma" w:cs="Tahoma"/>
                            <w:color w:val="303030"/>
                            <w:sz w:val="21"/>
                            <w:szCs w:val="21"/>
                          </w:rPr>
                        </w:pPr>
                      </w:p>
                      <w:p w14:paraId="372EB9A4" w14:textId="4123DE64" w:rsidR="002C1E17" w:rsidRDefault="002C1E17" w:rsidP="00F4468D">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Q. If general practice refers a patient for a blood pressure check, do we have to provide both stages of the service?</w:t>
                        </w:r>
                        <w:r>
                          <w:rPr>
                            <w:rFonts w:ascii="Tahoma" w:hAnsi="Tahoma" w:cs="Tahoma"/>
                            <w:color w:val="303030"/>
                            <w:sz w:val="21"/>
                            <w:szCs w:val="21"/>
                          </w:rPr>
                          <w:br/>
                        </w:r>
                        <w:r>
                          <w:rPr>
                            <w:rStyle w:val="Strong"/>
                            <w:rFonts w:ascii="Tahoma" w:hAnsi="Tahoma" w:cs="Tahoma"/>
                            <w:color w:val="303030"/>
                            <w:sz w:val="21"/>
                            <w:szCs w:val="21"/>
                          </w:rPr>
                          <w:t xml:space="preserve">A. </w:t>
                        </w:r>
                        <w:r>
                          <w:rPr>
                            <w:rFonts w:ascii="Tahoma" w:hAnsi="Tahoma" w:cs="Tahoma"/>
                            <w:color w:val="303030"/>
                            <w:sz w:val="21"/>
                            <w:szCs w:val="21"/>
                          </w:rPr>
                          <w:t>Where a patient is referred from general practice for a blood pressure check, then contractors should provide a clinic blood pressure check. The provision of ABPM would then only be required where it is clinically indicated because of a high clinic blood pressure in a previously undiagnosed patient.</w:t>
                        </w:r>
                      </w:p>
                      <w:p w14:paraId="16949E00" w14:textId="77777777" w:rsidR="002C1E17" w:rsidRDefault="002C1E17" w:rsidP="00F4468D">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If the referral is specifically for an ABPM, then a clinic blood pressure check is </w:t>
                        </w:r>
                        <w:r>
                          <w:rPr>
                            <w:rStyle w:val="Strong"/>
                            <w:rFonts w:ascii="Tahoma" w:hAnsi="Tahoma" w:cs="Tahoma"/>
                            <w:color w:val="303030"/>
                            <w:sz w:val="21"/>
                            <w:szCs w:val="21"/>
                          </w:rPr>
                          <w:t xml:space="preserve">not </w:t>
                        </w:r>
                        <w:r>
                          <w:rPr>
                            <w:rFonts w:ascii="Tahoma" w:hAnsi="Tahoma" w:cs="Tahoma"/>
                            <w:color w:val="303030"/>
                            <w:sz w:val="21"/>
                            <w:szCs w:val="21"/>
                          </w:rPr>
                          <w:t>required as this will have been conducted at the practice. Contractors should only claim for the service stages that they have provided.</w:t>
                        </w:r>
                        <w:r>
                          <w:rPr>
                            <w:rFonts w:ascii="Tahoma" w:hAnsi="Tahoma" w:cs="Tahoma"/>
                            <w:color w:val="303030"/>
                            <w:sz w:val="21"/>
                            <w:szCs w:val="21"/>
                          </w:rPr>
                          <w:br/>
                        </w:r>
                        <w:r>
                          <w:rPr>
                            <w:rFonts w:ascii="Tahoma" w:hAnsi="Tahoma" w:cs="Tahoma"/>
                            <w:color w:val="303030"/>
                            <w:sz w:val="21"/>
                            <w:szCs w:val="21"/>
                          </w:rPr>
                          <w:br/>
                          <w:t>Further information can be found on PSNC's </w:t>
                        </w:r>
                        <w:hyperlink r:id="rId11" w:tgtFrame="_blank" w:history="1">
                          <w:r>
                            <w:rPr>
                              <w:rStyle w:val="Hyperlink"/>
                              <w:rFonts w:ascii="Tahoma" w:hAnsi="Tahoma" w:cs="Tahoma"/>
                              <w:b/>
                              <w:bCs/>
                              <w:color w:val="4E3487"/>
                              <w:sz w:val="21"/>
                              <w:szCs w:val="21"/>
                            </w:rPr>
                            <w:t>Hypertension Case-Finding Service webpage</w:t>
                          </w:r>
                        </w:hyperlink>
                        <w:r>
                          <w:rPr>
                            <w:rFonts w:ascii="Tahoma" w:hAnsi="Tahoma" w:cs="Tahoma"/>
                            <w:color w:val="303030"/>
                            <w:sz w:val="21"/>
                            <w:szCs w:val="21"/>
                          </w:rPr>
                          <w:t>.</w:t>
                        </w:r>
                      </w:p>
                    </w:tc>
                    <w:tc>
                      <w:tcPr>
                        <w:tcW w:w="150" w:type="dxa"/>
                        <w:vAlign w:val="center"/>
                        <w:hideMark/>
                      </w:tcPr>
                      <w:p w14:paraId="5E7E1C2C" w14:textId="77777777" w:rsidR="002C1E17" w:rsidRDefault="002C1E17">
                        <w:pPr>
                          <w:rPr>
                            <w:rFonts w:ascii="Tahoma" w:hAnsi="Tahoma" w:cs="Tahoma"/>
                            <w:color w:val="303030"/>
                            <w:sz w:val="21"/>
                            <w:szCs w:val="21"/>
                          </w:rPr>
                        </w:pPr>
                      </w:p>
                    </w:tc>
                  </w:tr>
                  <w:tr w:rsidR="002C1E17" w14:paraId="6C1C8B94" w14:textId="77777777">
                    <w:trPr>
                      <w:trHeight w:val="150"/>
                      <w:tblCellSpacing w:w="15" w:type="dxa"/>
                      <w:jc w:val="center"/>
                    </w:trPr>
                    <w:tc>
                      <w:tcPr>
                        <w:tcW w:w="150" w:type="dxa"/>
                        <w:vAlign w:val="center"/>
                        <w:hideMark/>
                      </w:tcPr>
                      <w:p w14:paraId="059283BB" w14:textId="77777777" w:rsidR="002C1E17" w:rsidRDefault="002C1E17">
                        <w:pPr>
                          <w:rPr>
                            <w:rFonts w:ascii="Times New Roman" w:eastAsia="Times New Roman" w:hAnsi="Times New Roman" w:cs="Times New Roman"/>
                            <w:sz w:val="20"/>
                            <w:szCs w:val="20"/>
                          </w:rPr>
                        </w:pPr>
                      </w:p>
                    </w:tc>
                    <w:tc>
                      <w:tcPr>
                        <w:tcW w:w="8700" w:type="dxa"/>
                        <w:vAlign w:val="center"/>
                        <w:hideMark/>
                      </w:tcPr>
                      <w:p w14:paraId="60D45248" w14:textId="77777777" w:rsidR="002C1E17" w:rsidRDefault="002C1E17">
                        <w:pPr>
                          <w:rPr>
                            <w:rFonts w:ascii="Times New Roman" w:eastAsia="Times New Roman" w:hAnsi="Times New Roman" w:cs="Times New Roman"/>
                            <w:sz w:val="20"/>
                            <w:szCs w:val="20"/>
                          </w:rPr>
                        </w:pPr>
                      </w:p>
                    </w:tc>
                    <w:tc>
                      <w:tcPr>
                        <w:tcW w:w="150" w:type="dxa"/>
                        <w:vAlign w:val="center"/>
                        <w:hideMark/>
                      </w:tcPr>
                      <w:p w14:paraId="4C657A95" w14:textId="77777777" w:rsidR="002C1E17" w:rsidRDefault="002C1E17">
                        <w:pPr>
                          <w:rPr>
                            <w:rFonts w:ascii="Times New Roman" w:eastAsia="Times New Roman" w:hAnsi="Times New Roman" w:cs="Times New Roman"/>
                            <w:sz w:val="20"/>
                            <w:szCs w:val="20"/>
                          </w:rPr>
                        </w:pPr>
                      </w:p>
                    </w:tc>
                  </w:tr>
                </w:tbl>
                <w:p w14:paraId="1E23AAB9" w14:textId="77777777" w:rsidR="002C1E17" w:rsidRDefault="002C1E17">
                  <w:pPr>
                    <w:jc w:val="center"/>
                    <w:rPr>
                      <w:rFonts w:ascii="Times New Roman" w:eastAsia="Times New Roman" w:hAnsi="Times New Roman" w:cs="Times New Roman"/>
                      <w:sz w:val="20"/>
                      <w:szCs w:val="20"/>
                    </w:rPr>
                  </w:pPr>
                </w:p>
              </w:tc>
            </w:tr>
          </w:tbl>
          <w:p w14:paraId="4F54EABE" w14:textId="77777777" w:rsidR="002C1E17" w:rsidRDefault="002C1E17">
            <w:pPr>
              <w:jc w:val="center"/>
              <w:rPr>
                <w:rFonts w:ascii="Times New Roman" w:eastAsia="Times New Roman" w:hAnsi="Times New Roman" w:cs="Times New Roman"/>
                <w:sz w:val="20"/>
                <w:szCs w:val="20"/>
              </w:rPr>
            </w:pPr>
          </w:p>
        </w:tc>
      </w:tr>
      <w:tr w:rsidR="002C1E17" w14:paraId="215CFC53" w14:textId="77777777" w:rsidTr="002C1E17">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2C1E17" w14:paraId="22A25CE3"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C1E17" w14:paraId="387C6236" w14:textId="77777777">
                    <w:trPr>
                      <w:tblCellSpacing w:w="0" w:type="dxa"/>
                      <w:jc w:val="center"/>
                    </w:trPr>
                    <w:tc>
                      <w:tcPr>
                        <w:tcW w:w="3000" w:type="dxa"/>
                        <w:tcMar>
                          <w:top w:w="30" w:type="dxa"/>
                          <w:left w:w="75" w:type="dxa"/>
                          <w:bottom w:w="30" w:type="dxa"/>
                          <w:right w:w="75" w:type="dxa"/>
                        </w:tcMar>
                        <w:hideMark/>
                      </w:tcPr>
                      <w:p w14:paraId="2D7F604D" w14:textId="77777777" w:rsidR="002C1E17" w:rsidRDefault="002C1E17">
                        <w:pPr>
                          <w:pStyle w:val="Heading4"/>
                          <w:jc w:val="center"/>
                          <w:rPr>
                            <w:rFonts w:eastAsia="Times New Roman"/>
                          </w:rPr>
                        </w:pPr>
                        <w:r>
                          <w:rPr>
                            <w:rFonts w:eastAsia="Times New Roman"/>
                          </w:rPr>
                          <w:lastRenderedPageBreak/>
                          <w:t>Pharmaceutical Services Negotiating Committee</w:t>
                        </w:r>
                      </w:p>
                      <w:p w14:paraId="0A9E36C7" w14:textId="6555FEB8" w:rsidR="002C1E17" w:rsidRDefault="002C1E1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287F183" wp14:editId="21A22AF0">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4491192" wp14:editId="2A2AA5A8">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233E5DB" wp14:editId="1527E6CF">
                              <wp:extent cx="609600" cy="304800"/>
                              <wp:effectExtent l="0" t="0" r="0" b="0"/>
                              <wp:docPr id="3" name="Picture 3" descr="Graphical user interface&#10;&#10;Description automatically generated">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18" tgtFrame="_blank"/>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C05D7E7" wp14:editId="2D43C2FB">
                              <wp:extent cx="609600" cy="304800"/>
                              <wp:effectExtent l="0" t="0" r="0" b="0"/>
                              <wp:docPr id="2" name="Picture 2" descr="Graphical user interface&#10;&#10;Description automatically generated">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1" tgtFrame="_blank"/>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2A82ABC" w14:textId="77777777" w:rsidR="002C1E17" w:rsidRDefault="002C1E1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2C1E17" w14:paraId="5982D92D" w14:textId="77777777" w:rsidTr="00B30516">
                    <w:trPr>
                      <w:trHeight w:val="20"/>
                      <w:tblCellSpacing w:w="0" w:type="dxa"/>
                      <w:jc w:val="center"/>
                    </w:trPr>
                    <w:tc>
                      <w:tcPr>
                        <w:tcW w:w="9000" w:type="dxa"/>
                        <w:tcMar>
                          <w:top w:w="150" w:type="dxa"/>
                          <w:left w:w="0" w:type="dxa"/>
                          <w:bottom w:w="0" w:type="dxa"/>
                          <w:right w:w="0" w:type="dxa"/>
                        </w:tcMar>
                        <w:vAlign w:val="center"/>
                        <w:hideMark/>
                      </w:tcPr>
                      <w:p w14:paraId="16D08B76" w14:textId="0CB76699" w:rsidR="002C1E17" w:rsidRDefault="002C1E17" w:rsidP="00B30516">
                        <w:pPr>
                          <w:rPr>
                            <w:rFonts w:ascii="Arial" w:eastAsia="Times New Roman" w:hAnsi="Arial" w:cs="Arial"/>
                            <w:color w:val="FFFFFF"/>
                            <w:sz w:val="17"/>
                            <w:szCs w:val="17"/>
                          </w:rPr>
                        </w:pPr>
                      </w:p>
                    </w:tc>
                  </w:tr>
                </w:tbl>
                <w:p w14:paraId="0BD26CBE" w14:textId="77777777" w:rsidR="002C1E17" w:rsidRDefault="002C1E17">
                  <w:pPr>
                    <w:jc w:val="center"/>
                    <w:rPr>
                      <w:rFonts w:ascii="Times New Roman" w:eastAsia="Times New Roman" w:hAnsi="Times New Roman" w:cs="Times New Roman"/>
                      <w:sz w:val="20"/>
                      <w:szCs w:val="20"/>
                    </w:rPr>
                  </w:pPr>
                </w:p>
              </w:tc>
            </w:tr>
          </w:tbl>
          <w:p w14:paraId="49D23C38" w14:textId="77777777" w:rsidR="002C1E17" w:rsidRDefault="002C1E17">
            <w:pPr>
              <w:jc w:val="center"/>
              <w:rPr>
                <w:rFonts w:ascii="Times New Roman" w:eastAsia="Times New Roman" w:hAnsi="Times New Roman" w:cs="Times New Roman"/>
                <w:sz w:val="20"/>
                <w:szCs w:val="20"/>
              </w:rPr>
            </w:pPr>
          </w:p>
        </w:tc>
      </w:tr>
    </w:tbl>
    <w:p w14:paraId="0748B6AD" w14:textId="529B5A43" w:rsidR="002C1E17" w:rsidRDefault="002C1E17" w:rsidP="002C1E17">
      <w:pPr>
        <w:rPr>
          <w:rFonts w:eastAsia="Times New Roman"/>
        </w:rPr>
      </w:pPr>
      <w:r>
        <w:rPr>
          <w:rFonts w:eastAsia="Times New Roman"/>
          <w:noProof/>
        </w:rPr>
        <w:drawing>
          <wp:inline distT="0" distB="0" distL="0" distR="0" wp14:anchorId="67388E7C" wp14:editId="1D048CD4">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D80422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17"/>
    <w:rsid w:val="000A30B9"/>
    <w:rsid w:val="002C1E17"/>
    <w:rsid w:val="003E0E81"/>
    <w:rsid w:val="00B30516"/>
    <w:rsid w:val="00DD1890"/>
    <w:rsid w:val="00F44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F4A46C3"/>
  <w15:chartTrackingRefBased/>
  <w15:docId w15:val="{740B33CF-334E-41B0-9660-FC7656A9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E17"/>
    <w:rPr>
      <w:rFonts w:ascii="Calibri" w:hAnsi="Calibri" w:cs="Calibri"/>
      <w:lang w:eastAsia="en-GB"/>
    </w:rPr>
  </w:style>
  <w:style w:type="paragraph" w:styleId="Heading1">
    <w:name w:val="heading 1"/>
    <w:basedOn w:val="Normal"/>
    <w:link w:val="Heading1Char"/>
    <w:uiPriority w:val="9"/>
    <w:qFormat/>
    <w:rsid w:val="002C1E1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2C1E17"/>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2C1E17"/>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2C1E1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E17"/>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2C1E17"/>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2C1E17"/>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2C1E17"/>
    <w:rPr>
      <w:rFonts w:ascii="Tahoma" w:hAnsi="Tahoma" w:cs="Tahoma"/>
      <w:b/>
      <w:bCs/>
      <w:color w:val="FFFFFF"/>
      <w:sz w:val="18"/>
      <w:szCs w:val="18"/>
      <w:lang w:eastAsia="en-GB"/>
    </w:rPr>
  </w:style>
  <w:style w:type="paragraph" w:styleId="NormalWeb">
    <w:name w:val="Normal (Web)"/>
    <w:basedOn w:val="Normal"/>
    <w:uiPriority w:val="99"/>
    <w:semiHidden/>
    <w:unhideWhenUsed/>
    <w:rsid w:val="002C1E17"/>
    <w:pPr>
      <w:spacing w:before="100" w:beforeAutospacing="1" w:after="100" w:afterAutospacing="1"/>
    </w:pPr>
  </w:style>
  <w:style w:type="character" w:styleId="Strong">
    <w:name w:val="Strong"/>
    <w:basedOn w:val="DefaultParagraphFont"/>
    <w:uiPriority w:val="22"/>
    <w:qFormat/>
    <w:rsid w:val="002C1E17"/>
    <w:rPr>
      <w:b/>
      <w:bCs/>
    </w:rPr>
  </w:style>
  <w:style w:type="character" w:styleId="Hyperlink">
    <w:name w:val="Hyperlink"/>
    <w:basedOn w:val="DefaultParagraphFont"/>
    <w:uiPriority w:val="99"/>
    <w:semiHidden/>
    <w:unhideWhenUsed/>
    <w:rsid w:val="002C1E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4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256245c5ef&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9d536a58f9&amp;e=d19e9fd41c" TargetMode="External"/><Relationship Id="rId26" Type="http://schemas.openxmlformats.org/officeDocument/2006/relationships/image" Target="https://psnc.us7.list-manage.com/track/open.php?u=86d41ab7fa4c7c2c5d7210782&amp;id=a808a31233&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7d9c2b001e&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3f1000501a&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7df3510cc8&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ca9ff91383&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123ceb0771&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711948dfba&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5</cp:revision>
  <dcterms:created xsi:type="dcterms:W3CDTF">2022-01-25T09:27:00Z</dcterms:created>
  <dcterms:modified xsi:type="dcterms:W3CDTF">2022-01-25T13:36:00Z</dcterms:modified>
</cp:coreProperties>
</file>