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52C11" w14:paraId="6D13321C" w14:textId="77777777" w:rsidTr="00B52C11">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B52C11" w14:paraId="44CD5BED" w14:textId="77777777" w:rsidTr="00E73EBB">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52C11" w14:paraId="09F56FCE" w14:textId="77777777">
                    <w:trPr>
                      <w:tblCellSpacing w:w="0" w:type="dxa"/>
                      <w:jc w:val="center"/>
                    </w:trPr>
                    <w:tc>
                      <w:tcPr>
                        <w:tcW w:w="3000" w:type="dxa"/>
                        <w:hideMark/>
                      </w:tcPr>
                      <w:p w14:paraId="04674CAE" w14:textId="50A47B15" w:rsidR="00B52C11" w:rsidRDefault="00E73EBB" w:rsidP="00E73EBB">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7CED4FB" w14:textId="77777777" w:rsidR="00B52C11" w:rsidRDefault="00B52C11" w:rsidP="00E73EBB">
                  <w:pPr>
                    <w:spacing w:line="264" w:lineRule="auto"/>
                    <w:rPr>
                      <w:rFonts w:ascii="Times New Roman" w:eastAsia="Times New Roman" w:hAnsi="Times New Roman" w:cs="Times New Roman"/>
                      <w:sz w:val="20"/>
                      <w:szCs w:val="20"/>
                    </w:rPr>
                  </w:pPr>
                </w:p>
              </w:tc>
            </w:tr>
            <w:tr w:rsidR="00B52C11" w14:paraId="7B0D16FB" w14:textId="77777777" w:rsidTr="00E73EBB">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52C11" w14:paraId="0B894E9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251E9F6" w14:textId="1CE7F08E" w:rsidR="00B52C11" w:rsidRDefault="00B52C11" w:rsidP="00E73EBB">
                        <w:pPr>
                          <w:spacing w:line="264" w:lineRule="auto"/>
                          <w:rPr>
                            <w:rFonts w:eastAsia="Times New Roman"/>
                          </w:rPr>
                        </w:pPr>
                        <w:r>
                          <w:rPr>
                            <w:rFonts w:eastAsia="Times New Roman"/>
                            <w:noProof/>
                          </w:rPr>
                          <w:drawing>
                            <wp:inline distT="0" distB="0" distL="0" distR="0" wp14:anchorId="0C4780C0" wp14:editId="5861041F">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B52C11" w14:paraId="03536BBC" w14:textId="77777777">
                    <w:trPr>
                      <w:tblCellSpacing w:w="0" w:type="dxa"/>
                    </w:trPr>
                    <w:tc>
                      <w:tcPr>
                        <w:tcW w:w="0" w:type="auto"/>
                        <w:vMerge/>
                        <w:tcBorders>
                          <w:top w:val="nil"/>
                          <w:left w:val="nil"/>
                          <w:bottom w:val="single" w:sz="2" w:space="0" w:color="FFFFFF"/>
                          <w:right w:val="nil"/>
                        </w:tcBorders>
                        <w:vAlign w:val="center"/>
                        <w:hideMark/>
                      </w:tcPr>
                      <w:p w14:paraId="2D980677" w14:textId="77777777" w:rsidR="00B52C11" w:rsidRDefault="00B52C11" w:rsidP="00E73EBB">
                        <w:pPr>
                          <w:spacing w:line="264" w:lineRule="auto"/>
                          <w:rPr>
                            <w:rFonts w:eastAsia="Times New Roman"/>
                          </w:rPr>
                        </w:pPr>
                      </w:p>
                    </w:tc>
                    <w:tc>
                      <w:tcPr>
                        <w:tcW w:w="3450" w:type="dxa"/>
                        <w:tcBorders>
                          <w:top w:val="nil"/>
                          <w:left w:val="nil"/>
                          <w:bottom w:val="nil"/>
                          <w:right w:val="nil"/>
                        </w:tcBorders>
                        <w:vAlign w:val="center"/>
                        <w:hideMark/>
                      </w:tcPr>
                      <w:p w14:paraId="3C3CCB63" w14:textId="77777777" w:rsidR="00B52C11" w:rsidRDefault="00B52C11" w:rsidP="00E73EBB">
                        <w:pPr>
                          <w:pStyle w:val="Heading1"/>
                          <w:spacing w:after="0"/>
                          <w:rPr>
                            <w:rFonts w:eastAsia="Times New Roman"/>
                          </w:rPr>
                        </w:pPr>
                        <w:r>
                          <w:rPr>
                            <w:rFonts w:eastAsia="Times New Roman"/>
                          </w:rPr>
                          <w:t>PSNC Newsletter</w:t>
                        </w:r>
                      </w:p>
                    </w:tc>
                  </w:tr>
                  <w:tr w:rsidR="00B52C11" w14:paraId="09F09451" w14:textId="77777777">
                    <w:trPr>
                      <w:tblCellSpacing w:w="0" w:type="dxa"/>
                    </w:trPr>
                    <w:tc>
                      <w:tcPr>
                        <w:tcW w:w="0" w:type="auto"/>
                        <w:vMerge/>
                        <w:tcBorders>
                          <w:top w:val="nil"/>
                          <w:left w:val="nil"/>
                          <w:bottom w:val="single" w:sz="2" w:space="0" w:color="FFFFFF"/>
                          <w:right w:val="nil"/>
                        </w:tcBorders>
                        <w:vAlign w:val="center"/>
                        <w:hideMark/>
                      </w:tcPr>
                      <w:p w14:paraId="3258CBD0" w14:textId="77777777" w:rsidR="00B52C11" w:rsidRDefault="00B52C11" w:rsidP="00E73EBB">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38FAD1B" w14:textId="77777777" w:rsidR="00B52C11" w:rsidRDefault="00B52C11" w:rsidP="00E73EBB">
                        <w:pPr>
                          <w:pStyle w:val="Heading2"/>
                          <w:spacing w:after="0"/>
                          <w:rPr>
                            <w:rFonts w:eastAsia="Times New Roman"/>
                            <w:color w:val="93378A"/>
                          </w:rPr>
                        </w:pPr>
                        <w:r>
                          <w:rPr>
                            <w:rFonts w:eastAsia="Times New Roman"/>
                            <w:color w:val="93378A"/>
                          </w:rPr>
                          <w:t>Friday 14th January 2022</w:t>
                        </w:r>
                      </w:p>
                    </w:tc>
                  </w:tr>
                </w:tbl>
                <w:p w14:paraId="6D76A10B" w14:textId="77777777" w:rsidR="00B52C11" w:rsidRDefault="00B52C11" w:rsidP="00E73EBB">
                  <w:pPr>
                    <w:spacing w:line="264" w:lineRule="auto"/>
                    <w:rPr>
                      <w:rFonts w:ascii="Times New Roman" w:eastAsia="Times New Roman" w:hAnsi="Times New Roman" w:cs="Times New Roman"/>
                      <w:sz w:val="20"/>
                      <w:szCs w:val="20"/>
                    </w:rPr>
                  </w:pPr>
                </w:p>
              </w:tc>
            </w:tr>
            <w:tr w:rsidR="00B52C11" w14:paraId="31596AD1" w14:textId="77777777" w:rsidTr="00E73EBB">
              <w:tblPrEx>
                <w:shd w:val="clear" w:color="auto" w:fill="auto"/>
              </w:tblPrEx>
              <w:trPr>
                <w:tblCellSpacing w:w="0" w:type="dxa"/>
                <w:jc w:val="center"/>
              </w:trPr>
              <w:tc>
                <w:tcPr>
                  <w:tcW w:w="9026" w:type="dxa"/>
                  <w:gridSpan w:val="2"/>
                  <w:hideMark/>
                </w:tcPr>
                <w:p w14:paraId="4037A248" w14:textId="4BE6601E" w:rsidR="00B52C11" w:rsidRDefault="00B52C11" w:rsidP="00E73EBB">
                  <w:pPr>
                    <w:spacing w:line="264" w:lineRule="auto"/>
                    <w:rPr>
                      <w:rFonts w:eastAsia="Times New Roman"/>
                    </w:rPr>
                  </w:pPr>
                  <w:r>
                    <w:rPr>
                      <w:rFonts w:eastAsia="Times New Roman"/>
                      <w:noProof/>
                    </w:rPr>
                    <w:drawing>
                      <wp:inline distT="0" distB="0" distL="0" distR="0" wp14:anchorId="2E230909" wp14:editId="2367459D">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B52C11" w14:paraId="71F83BD6" w14:textId="77777777" w:rsidTr="00E73EBB">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B52C11" w14:paraId="729E666A" w14:textId="77777777">
                    <w:trPr>
                      <w:trHeight w:val="150"/>
                      <w:tblCellSpacing w:w="15" w:type="dxa"/>
                      <w:jc w:val="center"/>
                    </w:trPr>
                    <w:tc>
                      <w:tcPr>
                        <w:tcW w:w="150" w:type="dxa"/>
                        <w:vAlign w:val="center"/>
                        <w:hideMark/>
                      </w:tcPr>
                      <w:p w14:paraId="4E63926A" w14:textId="77777777" w:rsidR="00B52C11" w:rsidRDefault="00B52C11" w:rsidP="00E73EBB">
                        <w:pPr>
                          <w:spacing w:line="264" w:lineRule="auto"/>
                          <w:rPr>
                            <w:rFonts w:eastAsia="Times New Roman"/>
                          </w:rPr>
                        </w:pPr>
                      </w:p>
                    </w:tc>
                    <w:tc>
                      <w:tcPr>
                        <w:tcW w:w="8700" w:type="dxa"/>
                        <w:vAlign w:val="center"/>
                        <w:hideMark/>
                      </w:tcPr>
                      <w:p w14:paraId="5CF4D914" w14:textId="77777777" w:rsidR="00B52C11" w:rsidRDefault="00B52C11" w:rsidP="00E73EBB">
                        <w:pPr>
                          <w:spacing w:line="264" w:lineRule="auto"/>
                          <w:rPr>
                            <w:rFonts w:ascii="Times New Roman" w:eastAsia="Times New Roman" w:hAnsi="Times New Roman" w:cs="Times New Roman"/>
                            <w:sz w:val="20"/>
                            <w:szCs w:val="20"/>
                          </w:rPr>
                        </w:pPr>
                      </w:p>
                    </w:tc>
                    <w:tc>
                      <w:tcPr>
                        <w:tcW w:w="150" w:type="dxa"/>
                        <w:vAlign w:val="center"/>
                        <w:hideMark/>
                      </w:tcPr>
                      <w:p w14:paraId="3838B5AC" w14:textId="77777777" w:rsidR="00B52C11" w:rsidRDefault="00B52C11" w:rsidP="00E73EBB">
                        <w:pPr>
                          <w:spacing w:line="264" w:lineRule="auto"/>
                          <w:rPr>
                            <w:rFonts w:ascii="Times New Roman" w:eastAsia="Times New Roman" w:hAnsi="Times New Roman" w:cs="Times New Roman"/>
                            <w:sz w:val="20"/>
                            <w:szCs w:val="20"/>
                          </w:rPr>
                        </w:pPr>
                      </w:p>
                    </w:tc>
                  </w:tr>
                  <w:tr w:rsidR="00B52C11" w14:paraId="0F2A3C03" w14:textId="77777777">
                    <w:trPr>
                      <w:tblCellSpacing w:w="15" w:type="dxa"/>
                      <w:jc w:val="center"/>
                    </w:trPr>
                    <w:tc>
                      <w:tcPr>
                        <w:tcW w:w="150" w:type="dxa"/>
                        <w:vAlign w:val="center"/>
                        <w:hideMark/>
                      </w:tcPr>
                      <w:p w14:paraId="41CBF608" w14:textId="77777777" w:rsidR="00B52C11" w:rsidRDefault="00B52C11" w:rsidP="00E73EBB">
                        <w:pPr>
                          <w:spacing w:line="264" w:lineRule="auto"/>
                          <w:rPr>
                            <w:rFonts w:ascii="Times New Roman" w:eastAsia="Times New Roman" w:hAnsi="Times New Roman" w:cs="Times New Roman"/>
                            <w:sz w:val="20"/>
                            <w:szCs w:val="20"/>
                          </w:rPr>
                        </w:pPr>
                      </w:p>
                    </w:tc>
                    <w:tc>
                      <w:tcPr>
                        <w:tcW w:w="8700" w:type="dxa"/>
                        <w:vAlign w:val="center"/>
                        <w:hideMark/>
                      </w:tcPr>
                      <w:p w14:paraId="48AA5EC2" w14:textId="77777777" w:rsidR="00B52C11" w:rsidRDefault="00B52C11" w:rsidP="00E73E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4B0207C0" w14:textId="77777777" w:rsidR="00B52C11" w:rsidRDefault="00B52C11" w:rsidP="00E73E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11E7C75">
                            <v:rect id="_x0000_i1032" style="width:468pt;height:1.5pt" o:hrstd="t" o:hr="t" fillcolor="#a0a0a0" stroked="f"/>
                          </w:pict>
                        </w:r>
                      </w:p>
                      <w:p w14:paraId="27F03156" w14:textId="77777777" w:rsidR="00B52C11" w:rsidRDefault="00B52C11" w:rsidP="00E73EBB">
                        <w:pPr>
                          <w:pStyle w:val="Heading2"/>
                          <w:spacing w:after="0"/>
                          <w:rPr>
                            <w:rFonts w:eastAsia="Times New Roman"/>
                          </w:rPr>
                        </w:pPr>
                        <w:r>
                          <w:rPr>
                            <w:rFonts w:eastAsia="Times New Roman"/>
                          </w:rPr>
                          <w:t>In this update: Pharmacy delivers over 22 million COVID jabs; changes to CPCS; extension of free PPE provision; latest medicine notices.</w:t>
                        </w:r>
                      </w:p>
                      <w:p w14:paraId="44A168E3" w14:textId="77777777" w:rsidR="00B52C11" w:rsidRDefault="00B52C11" w:rsidP="00E73E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995457">
                            <v:rect id="_x0000_i1033" style="width:468pt;height:1.5pt" o:hrstd="t" o:hr="t" fillcolor="#a0a0a0" stroked="f"/>
                          </w:pict>
                        </w:r>
                      </w:p>
                      <w:p w14:paraId="7F41B297" w14:textId="77777777" w:rsidR="00B52C11" w:rsidRDefault="00B52C11" w:rsidP="00E73EBB">
                        <w:pPr>
                          <w:pStyle w:val="Heading3"/>
                          <w:spacing w:after="0"/>
                          <w:rPr>
                            <w:rFonts w:eastAsia="Times New Roman"/>
                          </w:rPr>
                        </w:pPr>
                        <w:r>
                          <w:rPr>
                            <w:rFonts w:eastAsia="Times New Roman"/>
                          </w:rPr>
                          <w:t>Over 22 million COVID vaccines delivered by pharmacy</w:t>
                        </w:r>
                      </w:p>
                      <w:p w14:paraId="166D3ACD" w14:textId="77777777" w:rsidR="00B52C11" w:rsidRDefault="00B52C11" w:rsidP="00E73EB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More than 22 million jabs have been delivered by community pharmacy-led COVID vaccination sites in the past 12 months.</w:t>
                        </w:r>
                        <w:r>
                          <w:rPr>
                            <w:rFonts w:ascii="Tahoma" w:hAnsi="Tahoma" w:cs="Tahoma"/>
                            <w:color w:val="303030"/>
                            <w:sz w:val="21"/>
                            <w:szCs w:val="21"/>
                          </w:rPr>
                          <w:br/>
                        </w:r>
                        <w:r>
                          <w:rPr>
                            <w:rFonts w:ascii="Tahoma" w:hAnsi="Tahoma" w:cs="Tahoma"/>
                            <w:color w:val="303030"/>
                            <w:sz w:val="21"/>
                            <w:szCs w:val="21"/>
                          </w:rPr>
                          <w:br/>
                          <w:t>Pharmacies have been central to the Government's COVID response, and the latest figures from NHS England and NHS Improvement (NHSE&amp;I) show just how significant a contribution they have made to the vaccination efforts.</w:t>
                        </w:r>
                        <w:r>
                          <w:rPr>
                            <w:rFonts w:ascii="Tahoma" w:hAnsi="Tahoma" w:cs="Tahoma"/>
                            <w:color w:val="303030"/>
                            <w:sz w:val="21"/>
                            <w:szCs w:val="21"/>
                          </w:rPr>
                          <w:br/>
                        </w:r>
                        <w:r>
                          <w:rPr>
                            <w:rFonts w:ascii="Tahoma" w:hAnsi="Tahoma" w:cs="Tahoma"/>
                            <w:color w:val="303030"/>
                            <w:sz w:val="21"/>
                            <w:szCs w:val="21"/>
                          </w:rPr>
                          <w:br/>
                          <w:t>The figures were revealed in today's Primary Care Bulletin from NHSE&amp;I as part of a thank you to community pharmacy teams for their work on the one-year anniversary of the sector delivering COVID-19 vaccinations.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PSNC's comment and watch NHSE&amp;I's thank you video</w:t>
                          </w:r>
                        </w:hyperlink>
                      </w:p>
                      <w:p w14:paraId="77758C55" w14:textId="77777777" w:rsidR="00B52C11" w:rsidRDefault="00B52C11" w:rsidP="00E73E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458484">
                            <v:rect id="_x0000_i1034" style="width:468pt;height:1.5pt" o:hrstd="t" o:hr="t" fillcolor="#a0a0a0" stroked="f"/>
                          </w:pict>
                        </w:r>
                      </w:p>
                      <w:p w14:paraId="73958C1E" w14:textId="77777777" w:rsidR="00B52C11" w:rsidRDefault="00B52C11" w:rsidP="00E73EBB">
                        <w:pPr>
                          <w:pStyle w:val="Heading3"/>
                          <w:spacing w:after="0"/>
                          <w:rPr>
                            <w:rFonts w:eastAsia="Times New Roman"/>
                          </w:rPr>
                        </w:pPr>
                        <w:r>
                          <w:rPr>
                            <w:rFonts w:eastAsia="Times New Roman"/>
                          </w:rPr>
                          <w:t>Changes to CPCS: More referrals from NHS 111 and the need to choose an IT system</w:t>
                        </w:r>
                      </w:p>
                      <w:p w14:paraId="4B2D42D3" w14:textId="77777777" w:rsidR="00B52C11" w:rsidRDefault="00B52C11" w:rsidP="00E73EBB">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More CPCS referrals expected from NHS 111</w:t>
                        </w:r>
                        <w:r>
                          <w:rPr>
                            <w:rFonts w:ascii="Tahoma" w:hAnsi="Tahoma" w:cs="Tahoma"/>
                            <w:color w:val="303030"/>
                            <w:sz w:val="21"/>
                            <w:szCs w:val="21"/>
                          </w:rPr>
                          <w:br/>
                          <w:t>Contractors can expect to receive more referrals from NHS 111 for the Community Pharmacist Consultation Service (CPCS) following a review of the NHS Pathway algorithms.</w:t>
                        </w:r>
                        <w:r>
                          <w:rPr>
                            <w:rFonts w:ascii="Tahoma" w:hAnsi="Tahoma" w:cs="Tahoma"/>
                            <w:color w:val="303030"/>
                            <w:sz w:val="21"/>
                            <w:szCs w:val="21"/>
                          </w:rPr>
                          <w:br/>
                        </w:r>
                        <w:r>
                          <w:rPr>
                            <w:rFonts w:ascii="Tahoma" w:hAnsi="Tahoma" w:cs="Tahoma"/>
                            <w:color w:val="303030"/>
                            <w:sz w:val="21"/>
                            <w:szCs w:val="21"/>
                          </w:rPr>
                          <w:br/>
                          <w:t>The changes introduce three new condition types (scratches and grazes, teething, sinusitis) and incorporate general health information requests. Based on NHS 111 call volumes data, these changes could generate 275,000 additional referral opportunities annually.</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 about this change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CPCS IT deadline approaching</w:t>
                        </w:r>
                        <w:r>
                          <w:rPr>
                            <w:rFonts w:ascii="Tahoma" w:hAnsi="Tahoma" w:cs="Tahoma"/>
                            <w:color w:val="303030"/>
                            <w:sz w:val="21"/>
                            <w:szCs w:val="21"/>
                          </w:rPr>
                          <w:br/>
                          <w:t xml:space="preserve">The national procurement of IT support for the CPCS is due to finish at the end of March 2022. Contractors that want to continue providing the service must, therefore, confirm their choice of CPCS IT system by no later than </w:t>
                        </w:r>
                        <w:r>
                          <w:rPr>
                            <w:rStyle w:val="Strong"/>
                            <w:rFonts w:ascii="Tahoma" w:hAnsi="Tahoma" w:cs="Tahoma"/>
                            <w:color w:val="303030"/>
                            <w:sz w:val="21"/>
                            <w:szCs w:val="21"/>
                          </w:rPr>
                          <w:t>February 2022</w:t>
                        </w:r>
                        <w:r>
                          <w:rPr>
                            <w:rFonts w:ascii="Tahoma" w:hAnsi="Tahoma" w:cs="Tahoma"/>
                            <w:color w:val="303030"/>
                            <w:sz w:val="21"/>
                            <w:szCs w:val="21"/>
                          </w:rPr>
                          <w:t>. Those contractors who choose to stay with their current IT provider still need to confirm this.</w:t>
                        </w:r>
                        <w:r>
                          <w:rPr>
                            <w:rFonts w:ascii="Tahoma" w:hAnsi="Tahoma" w:cs="Tahoma"/>
                            <w:color w:val="303030"/>
                            <w:sz w:val="21"/>
                            <w:szCs w:val="21"/>
                          </w:rPr>
                          <w:br/>
                        </w:r>
                        <w:r>
                          <w:rPr>
                            <w:rFonts w:ascii="Tahoma" w:hAnsi="Tahoma" w:cs="Tahoma"/>
                            <w:color w:val="303030"/>
                            <w:sz w:val="21"/>
                            <w:szCs w:val="21"/>
                          </w:rPr>
                          <w:lastRenderedPageBreak/>
                          <w:br/>
                        </w:r>
                        <w:hyperlink r:id="rId10" w:tgtFrame="_blank" w:history="1">
                          <w:r>
                            <w:rPr>
                              <w:rStyle w:val="Hyperlink"/>
                              <w:rFonts w:ascii="Tahoma" w:hAnsi="Tahoma" w:cs="Tahoma"/>
                              <w:b/>
                              <w:bCs/>
                              <w:color w:val="4E3487"/>
                              <w:sz w:val="21"/>
                              <w:szCs w:val="21"/>
                            </w:rPr>
                            <w:t>Learn more about the CPCS provider pays model</w:t>
                          </w:r>
                        </w:hyperlink>
                      </w:p>
                      <w:p w14:paraId="22697019" w14:textId="77777777" w:rsidR="00B52C11" w:rsidRDefault="00B52C11" w:rsidP="00E73E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7F99FE9">
                            <v:rect id="_x0000_i1035" style="width:468pt;height:1.5pt" o:hrstd="t" o:hr="t" fillcolor="#a0a0a0" stroked="f"/>
                          </w:pict>
                        </w:r>
                      </w:p>
                      <w:p w14:paraId="41FE2195" w14:textId="77777777" w:rsidR="00B52C11" w:rsidRDefault="00B52C11" w:rsidP="00E73EBB">
                        <w:pPr>
                          <w:pStyle w:val="Heading3"/>
                          <w:spacing w:after="0"/>
                          <w:rPr>
                            <w:rFonts w:eastAsia="Times New Roman"/>
                          </w:rPr>
                        </w:pPr>
                        <w:r>
                          <w:rPr>
                            <w:rFonts w:eastAsia="Times New Roman"/>
                          </w:rPr>
                          <w:t>Free PPE for pharmacy teams extended for another year</w:t>
                        </w:r>
                      </w:p>
                      <w:p w14:paraId="4D5B3B4D" w14:textId="77777777" w:rsidR="00B52C11" w:rsidRDefault="00B52C11" w:rsidP="00E73EB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Government's offer of free personal protective equipment (PPE) to frontline health and social care staff in England, including community pharmacy teams, has been extended for another year until </w:t>
                        </w:r>
                        <w:r>
                          <w:rPr>
                            <w:rStyle w:val="Strong"/>
                            <w:rFonts w:ascii="Tahoma" w:hAnsi="Tahoma" w:cs="Tahoma"/>
                            <w:color w:val="303030"/>
                            <w:sz w:val="21"/>
                            <w:szCs w:val="21"/>
                          </w:rPr>
                          <w:t>31st March 2023</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The Department of Health and Social Care (DHSC) is also developing an improved platform for the procurement of PPE that will be quicker and easier to use. This is due to be rolled out from April 2022.</w:t>
                        </w:r>
                      </w:p>
                      <w:p w14:paraId="3FFEE193" w14:textId="77777777" w:rsidR="00B52C11" w:rsidRDefault="00B52C11" w:rsidP="00E73EBB">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Find out more</w:t>
                          </w:r>
                        </w:hyperlink>
                      </w:p>
                      <w:p w14:paraId="30208DC2" w14:textId="77777777" w:rsidR="00B52C11" w:rsidRDefault="00B52C11" w:rsidP="00E73EB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E786CF6">
                            <v:rect id="_x0000_i1036" style="width:468pt;height:1.5pt" o:hrstd="t" o:hr="t" fillcolor="#a0a0a0" stroked="f"/>
                          </w:pict>
                        </w:r>
                      </w:p>
                      <w:p w14:paraId="6BEB1EA5" w14:textId="77777777" w:rsidR="00B52C11" w:rsidRDefault="00B52C11" w:rsidP="00E73EBB">
                        <w:pPr>
                          <w:pStyle w:val="Heading3"/>
                          <w:spacing w:after="0"/>
                          <w:rPr>
                            <w:rFonts w:eastAsia="Times New Roman"/>
                          </w:rPr>
                        </w:pPr>
                        <w:r>
                          <w:rPr>
                            <w:rFonts w:eastAsia="Times New Roman"/>
                          </w:rPr>
                          <w:t>Medicines updates</w:t>
                        </w:r>
                      </w:p>
                      <w:p w14:paraId="3603919C" w14:textId="77777777" w:rsidR="00B52C11" w:rsidRDefault="00B52C11" w:rsidP="00E73EBB">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Drug Tariff price re-determination for Metformin</w:t>
                        </w:r>
                        <w:r>
                          <w:rPr>
                            <w:rFonts w:ascii="Tahoma" w:hAnsi="Tahoma" w:cs="Tahoma"/>
                            <w:color w:val="303030"/>
                            <w:sz w:val="21"/>
                            <w:szCs w:val="21"/>
                          </w:rPr>
                          <w:br/>
                          <w:t>Following request from PSNC, the reimbursement prices for Metformin 850mg/5ml oral solution sugar free (150ml) and Metformin 1g/5ml oral solution sugar free (150ml) for the month of November 2021 have been re-determined.</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more about this price re-determination</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SSP014 extension</w:t>
                        </w:r>
                        <w:r>
                          <w:rPr>
                            <w:rFonts w:ascii="Tahoma" w:hAnsi="Tahoma" w:cs="Tahoma"/>
                            <w:color w:val="303030"/>
                            <w:sz w:val="21"/>
                            <w:szCs w:val="21"/>
                          </w:rPr>
                          <w:br/>
                          <w:t xml:space="preserve">The Serious Shortage Protocol (SSP) for </w:t>
                        </w:r>
                        <w:proofErr w:type="spellStart"/>
                        <w:r>
                          <w:rPr>
                            <w:rFonts w:ascii="Tahoma" w:hAnsi="Tahoma" w:cs="Tahoma"/>
                            <w:color w:val="303030"/>
                            <w:sz w:val="21"/>
                            <w:szCs w:val="21"/>
                          </w:rPr>
                          <w:t>Salazopyrin</w:t>
                        </w:r>
                        <w:proofErr w:type="spellEnd"/>
                        <w:r>
                          <w:rPr>
                            <w:rFonts w:ascii="Tahoma" w:hAnsi="Tahoma" w:cs="Tahoma"/>
                            <w:color w:val="303030"/>
                            <w:sz w:val="21"/>
                            <w:szCs w:val="21"/>
                          </w:rPr>
                          <w:t xml:space="preserve"> EN-Tabs 500mg, SSP014, has been extended to Friday 21st January 2022.</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SSP014</w:t>
                          </w:r>
                        </w:hyperlink>
                      </w:p>
                    </w:tc>
                    <w:tc>
                      <w:tcPr>
                        <w:tcW w:w="150" w:type="dxa"/>
                        <w:vAlign w:val="center"/>
                        <w:hideMark/>
                      </w:tcPr>
                      <w:p w14:paraId="41F5D647" w14:textId="77777777" w:rsidR="00B52C11" w:rsidRDefault="00B52C11" w:rsidP="00E73EBB">
                        <w:pPr>
                          <w:spacing w:line="264" w:lineRule="auto"/>
                          <w:rPr>
                            <w:rFonts w:ascii="Tahoma" w:hAnsi="Tahoma" w:cs="Tahoma"/>
                            <w:color w:val="303030"/>
                            <w:sz w:val="21"/>
                            <w:szCs w:val="21"/>
                          </w:rPr>
                        </w:pPr>
                      </w:p>
                    </w:tc>
                  </w:tr>
                  <w:tr w:rsidR="00B52C11" w14:paraId="163160CE" w14:textId="77777777">
                    <w:trPr>
                      <w:trHeight w:val="150"/>
                      <w:tblCellSpacing w:w="15" w:type="dxa"/>
                      <w:jc w:val="center"/>
                    </w:trPr>
                    <w:tc>
                      <w:tcPr>
                        <w:tcW w:w="150" w:type="dxa"/>
                        <w:vAlign w:val="center"/>
                        <w:hideMark/>
                      </w:tcPr>
                      <w:p w14:paraId="624CE6E0" w14:textId="77777777" w:rsidR="00B52C11" w:rsidRDefault="00B52C11" w:rsidP="00E73EBB">
                        <w:pPr>
                          <w:spacing w:line="264" w:lineRule="auto"/>
                          <w:rPr>
                            <w:rFonts w:ascii="Times New Roman" w:eastAsia="Times New Roman" w:hAnsi="Times New Roman" w:cs="Times New Roman"/>
                            <w:sz w:val="20"/>
                            <w:szCs w:val="20"/>
                          </w:rPr>
                        </w:pPr>
                      </w:p>
                    </w:tc>
                    <w:tc>
                      <w:tcPr>
                        <w:tcW w:w="8700" w:type="dxa"/>
                        <w:vAlign w:val="center"/>
                        <w:hideMark/>
                      </w:tcPr>
                      <w:p w14:paraId="3B420A86" w14:textId="77777777" w:rsidR="00B52C11" w:rsidRDefault="00B52C11" w:rsidP="00E73EBB">
                        <w:pPr>
                          <w:spacing w:line="264" w:lineRule="auto"/>
                          <w:rPr>
                            <w:rFonts w:ascii="Times New Roman" w:eastAsia="Times New Roman" w:hAnsi="Times New Roman" w:cs="Times New Roman"/>
                            <w:sz w:val="20"/>
                            <w:szCs w:val="20"/>
                          </w:rPr>
                        </w:pPr>
                      </w:p>
                    </w:tc>
                    <w:tc>
                      <w:tcPr>
                        <w:tcW w:w="150" w:type="dxa"/>
                        <w:vAlign w:val="center"/>
                        <w:hideMark/>
                      </w:tcPr>
                      <w:p w14:paraId="6F9A86C7" w14:textId="77777777" w:rsidR="00B52C11" w:rsidRDefault="00B52C11" w:rsidP="00E73EBB">
                        <w:pPr>
                          <w:spacing w:line="264" w:lineRule="auto"/>
                          <w:rPr>
                            <w:rFonts w:ascii="Times New Roman" w:eastAsia="Times New Roman" w:hAnsi="Times New Roman" w:cs="Times New Roman"/>
                            <w:sz w:val="20"/>
                            <w:szCs w:val="20"/>
                          </w:rPr>
                        </w:pPr>
                      </w:p>
                    </w:tc>
                  </w:tr>
                </w:tbl>
                <w:p w14:paraId="7F5B7083" w14:textId="77777777" w:rsidR="00B52C11" w:rsidRDefault="00B52C11" w:rsidP="00E73EBB">
                  <w:pPr>
                    <w:spacing w:line="264" w:lineRule="auto"/>
                    <w:rPr>
                      <w:rFonts w:ascii="Times New Roman" w:eastAsia="Times New Roman" w:hAnsi="Times New Roman" w:cs="Times New Roman"/>
                      <w:sz w:val="20"/>
                      <w:szCs w:val="20"/>
                    </w:rPr>
                  </w:pPr>
                </w:p>
              </w:tc>
            </w:tr>
          </w:tbl>
          <w:p w14:paraId="5B1C7075" w14:textId="77777777" w:rsidR="00B52C11" w:rsidRDefault="00B52C11" w:rsidP="00E73EBB">
            <w:pPr>
              <w:spacing w:line="264" w:lineRule="auto"/>
              <w:rPr>
                <w:rFonts w:ascii="Times New Roman" w:eastAsia="Times New Roman" w:hAnsi="Times New Roman" w:cs="Times New Roman"/>
                <w:sz w:val="20"/>
                <w:szCs w:val="20"/>
              </w:rPr>
            </w:pPr>
          </w:p>
        </w:tc>
      </w:tr>
      <w:tr w:rsidR="00B52C11" w14:paraId="1DE48F22" w14:textId="77777777" w:rsidTr="00B52C1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52C11" w14:paraId="7721A85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52C11" w14:paraId="673938C6" w14:textId="77777777">
                    <w:trPr>
                      <w:tblCellSpacing w:w="0" w:type="dxa"/>
                      <w:jc w:val="center"/>
                    </w:trPr>
                    <w:tc>
                      <w:tcPr>
                        <w:tcW w:w="3000" w:type="dxa"/>
                        <w:tcMar>
                          <w:top w:w="30" w:type="dxa"/>
                          <w:left w:w="75" w:type="dxa"/>
                          <w:bottom w:w="30" w:type="dxa"/>
                          <w:right w:w="75" w:type="dxa"/>
                        </w:tcMar>
                        <w:hideMark/>
                      </w:tcPr>
                      <w:p w14:paraId="147654CF" w14:textId="77777777" w:rsidR="00B52C11" w:rsidRDefault="00B52C11" w:rsidP="00E73EBB">
                        <w:pPr>
                          <w:pStyle w:val="Heading4"/>
                          <w:spacing w:after="0"/>
                          <w:jc w:val="center"/>
                          <w:rPr>
                            <w:rFonts w:eastAsia="Times New Roman"/>
                          </w:rPr>
                        </w:pPr>
                        <w:r>
                          <w:rPr>
                            <w:rFonts w:eastAsia="Times New Roman"/>
                          </w:rPr>
                          <w:lastRenderedPageBreak/>
                          <w:t>Pharmaceutical Services Negotiating Committee</w:t>
                        </w:r>
                      </w:p>
                      <w:p w14:paraId="1AA04DC3" w14:textId="67AA0B5E" w:rsidR="00B52C11" w:rsidRDefault="00B52C11" w:rsidP="00E73EBB">
                        <w:pPr>
                          <w:spacing w:line="264" w:lineRule="auto"/>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F8DF80" wp14:editId="61462777">
                              <wp:extent cx="605790" cy="308610"/>
                              <wp:effectExtent l="0" t="0" r="3810" b="1524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32A30BF1" wp14:editId="64089F0D">
                              <wp:extent cx="605790" cy="308610"/>
                              <wp:effectExtent l="0" t="0" r="3810" b="15240"/>
                              <wp:docPr id="4" name="Picture 4" descr="Graphical user interface&#10;&#10;Description automatically generated">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7" tgtFrame="_blank"/>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40DD93E" wp14:editId="45C355C7">
                              <wp:extent cx="605790" cy="308610"/>
                              <wp:effectExtent l="0" t="0" r="3810" b="1524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53FE50" wp14:editId="72339A2C">
                              <wp:extent cx="605790" cy="308610"/>
                              <wp:effectExtent l="0" t="0" r="3810" b="1524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p>
                      <w:p w14:paraId="12D3ED09" w14:textId="01830313" w:rsidR="00B52C11" w:rsidRDefault="00B52C11" w:rsidP="00E73EBB">
                        <w:pPr>
                          <w:spacing w:line="264" w:lineRule="auto"/>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p>
                    </w:tc>
                  </w:tr>
                  <w:tr w:rsidR="00B52C11" w14:paraId="60EF4311" w14:textId="77777777" w:rsidTr="00E73EBB">
                    <w:trPr>
                      <w:trHeight w:val="21"/>
                      <w:tblCellSpacing w:w="0" w:type="dxa"/>
                      <w:jc w:val="center"/>
                    </w:trPr>
                    <w:tc>
                      <w:tcPr>
                        <w:tcW w:w="9000" w:type="dxa"/>
                        <w:tcMar>
                          <w:top w:w="150" w:type="dxa"/>
                          <w:left w:w="0" w:type="dxa"/>
                          <w:bottom w:w="0" w:type="dxa"/>
                          <w:right w:w="0" w:type="dxa"/>
                        </w:tcMar>
                        <w:vAlign w:val="center"/>
                        <w:hideMark/>
                      </w:tcPr>
                      <w:p w14:paraId="19440136" w14:textId="1016AE63" w:rsidR="00B52C11" w:rsidRDefault="00B52C11" w:rsidP="00E73EBB">
                        <w:pPr>
                          <w:spacing w:line="264" w:lineRule="auto"/>
                          <w:rPr>
                            <w:rFonts w:ascii="Arial" w:eastAsia="Times New Roman" w:hAnsi="Arial" w:cs="Arial"/>
                            <w:color w:val="FFFFFF"/>
                            <w:sz w:val="17"/>
                            <w:szCs w:val="17"/>
                          </w:rPr>
                        </w:pPr>
                      </w:p>
                    </w:tc>
                  </w:tr>
                </w:tbl>
                <w:p w14:paraId="55ECC3D5" w14:textId="77777777" w:rsidR="00B52C11" w:rsidRDefault="00B52C11" w:rsidP="00E73EBB">
                  <w:pPr>
                    <w:spacing w:line="264" w:lineRule="auto"/>
                    <w:jc w:val="center"/>
                    <w:rPr>
                      <w:rFonts w:ascii="Times New Roman" w:eastAsia="Times New Roman" w:hAnsi="Times New Roman" w:cs="Times New Roman"/>
                      <w:sz w:val="20"/>
                      <w:szCs w:val="20"/>
                    </w:rPr>
                  </w:pPr>
                </w:p>
              </w:tc>
            </w:tr>
          </w:tbl>
          <w:p w14:paraId="61448D10" w14:textId="77777777" w:rsidR="00B52C11" w:rsidRDefault="00B52C11" w:rsidP="00E73EBB">
            <w:pPr>
              <w:spacing w:line="264" w:lineRule="auto"/>
              <w:jc w:val="center"/>
              <w:rPr>
                <w:rFonts w:ascii="Times New Roman" w:eastAsia="Times New Roman" w:hAnsi="Times New Roman" w:cs="Times New Roman"/>
                <w:sz w:val="20"/>
                <w:szCs w:val="20"/>
              </w:rPr>
            </w:pPr>
          </w:p>
        </w:tc>
      </w:tr>
    </w:tbl>
    <w:p w14:paraId="6453C98A" w14:textId="383EAEE4" w:rsidR="00B52C11" w:rsidRDefault="00B52C11" w:rsidP="00E73EBB">
      <w:pPr>
        <w:spacing w:line="264" w:lineRule="auto"/>
        <w:rPr>
          <w:rFonts w:eastAsia="Times New Roman"/>
        </w:rPr>
      </w:pPr>
      <w:r>
        <w:rPr>
          <w:rFonts w:eastAsia="Times New Roman"/>
          <w:noProof/>
        </w:rPr>
        <w:drawing>
          <wp:inline distT="0" distB="0" distL="0" distR="0" wp14:anchorId="3B4FEDEC" wp14:editId="12D2B38C">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F9A4343" w14:textId="77777777" w:rsidR="00DD1890" w:rsidRDefault="00DD1890" w:rsidP="00E73EBB">
      <w:pPr>
        <w:spacing w:line="264" w:lineRule="auto"/>
      </w:pPr>
    </w:p>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11"/>
    <w:rsid w:val="00B52C11"/>
    <w:rsid w:val="00DD1890"/>
    <w:rsid w:val="00E73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ED96"/>
  <w15:chartTrackingRefBased/>
  <w15:docId w15:val="{10644D69-3E5F-4F62-9F14-DD2193B0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11"/>
    <w:rPr>
      <w:rFonts w:ascii="Calibri" w:hAnsi="Calibri" w:cs="Calibri"/>
      <w:lang w:eastAsia="en-GB"/>
    </w:rPr>
  </w:style>
  <w:style w:type="paragraph" w:styleId="Heading1">
    <w:name w:val="heading 1"/>
    <w:basedOn w:val="Normal"/>
    <w:link w:val="Heading1Char"/>
    <w:uiPriority w:val="9"/>
    <w:qFormat/>
    <w:rsid w:val="00B52C1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52C1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52C1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52C1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1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52C1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52C1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52C11"/>
    <w:rPr>
      <w:rFonts w:ascii="Tahoma" w:hAnsi="Tahoma" w:cs="Tahoma"/>
      <w:b/>
      <w:bCs/>
      <w:color w:val="FFFFFF"/>
      <w:sz w:val="18"/>
      <w:szCs w:val="18"/>
      <w:lang w:eastAsia="en-GB"/>
    </w:rPr>
  </w:style>
  <w:style w:type="paragraph" w:styleId="NormalWeb">
    <w:name w:val="Normal (Web)"/>
    <w:basedOn w:val="Normal"/>
    <w:uiPriority w:val="99"/>
    <w:semiHidden/>
    <w:unhideWhenUsed/>
    <w:rsid w:val="00B52C11"/>
    <w:pPr>
      <w:spacing w:before="100" w:beforeAutospacing="1" w:after="100" w:afterAutospacing="1"/>
    </w:pPr>
  </w:style>
  <w:style w:type="character" w:styleId="Strong">
    <w:name w:val="Strong"/>
    <w:basedOn w:val="DefaultParagraphFont"/>
    <w:uiPriority w:val="22"/>
    <w:qFormat/>
    <w:rsid w:val="00B52C11"/>
    <w:rPr>
      <w:b/>
      <w:bCs/>
    </w:rPr>
  </w:style>
  <w:style w:type="character" w:styleId="Hyperlink">
    <w:name w:val="Hyperlink"/>
    <w:basedOn w:val="DefaultParagraphFont"/>
    <w:uiPriority w:val="99"/>
    <w:semiHidden/>
    <w:unhideWhenUsed/>
    <w:rsid w:val="00B52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7fb1c0b9d&amp;e=d19e9fd41c" TargetMode="External"/><Relationship Id="rId13" Type="http://schemas.openxmlformats.org/officeDocument/2006/relationships/hyperlink" Target="https://psnc.us7.list-manage.com/track/click?u=86d41ab7fa4c7c2c5d7210782&amp;id=f02a1a6351&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3daa3e878&amp;e=d19e9fd41c" TargetMode="External"/><Relationship Id="rId17" Type="http://schemas.openxmlformats.org/officeDocument/2006/relationships/hyperlink" Target="https://psnc.us7.list-manage.com/track/click?u=86d41ab7fa4c7c2c5d7210782&amp;id=b73c855f10&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a1609f85e5&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b134ea204&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14e54eefc0&amp;e=d19e9fd41c" TargetMode="External"/><Relationship Id="rId28" Type="http://schemas.openxmlformats.org/officeDocument/2006/relationships/image" Target="https://psnc.us7.list-manage.com/track/open.php?u=86d41ab7fa4c7c2c5d7210782&amp;id=a80baf9951&amp;e=d19e9fd41c" TargetMode="External"/><Relationship Id="rId10" Type="http://schemas.openxmlformats.org/officeDocument/2006/relationships/hyperlink" Target="https://psnc.us7.list-manage.com/track/click?u=86d41ab7fa4c7c2c5d7210782&amp;id=127b06896a&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c9dfc099ac&amp;e=d19e9fd41c" TargetMode="External"/><Relationship Id="rId14" Type="http://schemas.openxmlformats.org/officeDocument/2006/relationships/hyperlink" Target="https://psnc.us7.list-manage.com/track/click?u=86d41ab7fa4c7c2c5d7210782&amp;id=866aaa1edc&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2022-01-17T08:56:00Z</dcterms:created>
  <dcterms:modified xsi:type="dcterms:W3CDTF">2022-01-17T08:58:00Z</dcterms:modified>
</cp:coreProperties>
</file>