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A3C6C" w14:paraId="22DBD0DA" w14:textId="77777777" w:rsidTr="006A3C6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A3C6C" w14:paraId="22749C8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A3C6C" w14:paraId="23191B72" w14:textId="77777777">
                    <w:trPr>
                      <w:tblCellSpacing w:w="0" w:type="dxa"/>
                      <w:jc w:val="center"/>
                    </w:trPr>
                    <w:tc>
                      <w:tcPr>
                        <w:tcW w:w="3000" w:type="dxa"/>
                        <w:hideMark/>
                      </w:tcPr>
                      <w:p w14:paraId="7A4779D0" w14:textId="33B1606D" w:rsidR="006A3C6C" w:rsidRDefault="006A3C6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53EBA0F" w14:textId="77777777" w:rsidR="006A3C6C" w:rsidRDefault="006A3C6C">
                  <w:pPr>
                    <w:jc w:val="center"/>
                    <w:rPr>
                      <w:rFonts w:ascii="Times New Roman" w:eastAsia="Times New Roman" w:hAnsi="Times New Roman" w:cs="Times New Roman"/>
                      <w:sz w:val="20"/>
                      <w:szCs w:val="20"/>
                    </w:rPr>
                  </w:pPr>
                </w:p>
              </w:tc>
            </w:tr>
            <w:tr w:rsidR="006A3C6C" w14:paraId="774C9F8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A3C6C" w14:paraId="448AAC1A"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67EB2F83" w14:textId="2B977246" w:rsidR="006A3C6C" w:rsidRDefault="006A3C6C">
                        <w:pPr>
                          <w:jc w:val="center"/>
                          <w:rPr>
                            <w:rFonts w:eastAsia="Times New Roman"/>
                          </w:rPr>
                        </w:pPr>
                        <w:r>
                          <w:rPr>
                            <w:rFonts w:eastAsia="Times New Roman"/>
                            <w:noProof/>
                          </w:rPr>
                          <w:drawing>
                            <wp:inline distT="0" distB="0" distL="0" distR="0" wp14:anchorId="02570E6A" wp14:editId="2C00891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A3C6C" w14:paraId="12DE040C" w14:textId="77777777">
                    <w:trPr>
                      <w:tblCellSpacing w:w="0" w:type="dxa"/>
                    </w:trPr>
                    <w:tc>
                      <w:tcPr>
                        <w:tcW w:w="0" w:type="auto"/>
                        <w:vMerge/>
                        <w:tcBorders>
                          <w:top w:val="nil"/>
                          <w:left w:val="nil"/>
                          <w:bottom w:val="single" w:sz="2" w:space="0" w:color="FFFFFF"/>
                          <w:right w:val="nil"/>
                        </w:tcBorders>
                        <w:vAlign w:val="center"/>
                        <w:hideMark/>
                      </w:tcPr>
                      <w:p w14:paraId="16F9306C" w14:textId="77777777" w:rsidR="006A3C6C" w:rsidRDefault="006A3C6C">
                        <w:pPr>
                          <w:rPr>
                            <w:rFonts w:eastAsia="Times New Roman"/>
                          </w:rPr>
                        </w:pPr>
                      </w:p>
                    </w:tc>
                    <w:tc>
                      <w:tcPr>
                        <w:tcW w:w="3450" w:type="dxa"/>
                        <w:tcBorders>
                          <w:top w:val="nil"/>
                          <w:left w:val="nil"/>
                          <w:bottom w:val="nil"/>
                          <w:right w:val="nil"/>
                        </w:tcBorders>
                        <w:vAlign w:val="center"/>
                        <w:hideMark/>
                      </w:tcPr>
                      <w:p w14:paraId="70C363F1" w14:textId="77777777" w:rsidR="006A3C6C" w:rsidRDefault="006A3C6C">
                        <w:pPr>
                          <w:pStyle w:val="Heading1"/>
                          <w:rPr>
                            <w:rFonts w:eastAsia="Times New Roman"/>
                          </w:rPr>
                        </w:pPr>
                        <w:r>
                          <w:rPr>
                            <w:rFonts w:eastAsia="Times New Roman"/>
                          </w:rPr>
                          <w:t>PSNC Newsletter</w:t>
                        </w:r>
                      </w:p>
                    </w:tc>
                  </w:tr>
                  <w:tr w:rsidR="006A3C6C" w14:paraId="7C538E26" w14:textId="77777777">
                    <w:trPr>
                      <w:tblCellSpacing w:w="0" w:type="dxa"/>
                    </w:trPr>
                    <w:tc>
                      <w:tcPr>
                        <w:tcW w:w="0" w:type="auto"/>
                        <w:vMerge/>
                        <w:tcBorders>
                          <w:top w:val="nil"/>
                          <w:left w:val="nil"/>
                          <w:bottom w:val="single" w:sz="2" w:space="0" w:color="FFFFFF"/>
                          <w:right w:val="nil"/>
                        </w:tcBorders>
                        <w:vAlign w:val="center"/>
                        <w:hideMark/>
                      </w:tcPr>
                      <w:p w14:paraId="6A4DFE9F" w14:textId="77777777" w:rsidR="006A3C6C" w:rsidRDefault="006A3C6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D2E17CA" w14:textId="77777777" w:rsidR="006A3C6C" w:rsidRDefault="006A3C6C">
                        <w:pPr>
                          <w:pStyle w:val="Heading2"/>
                          <w:rPr>
                            <w:rFonts w:eastAsia="Times New Roman"/>
                            <w:color w:val="93378A"/>
                          </w:rPr>
                        </w:pPr>
                        <w:r>
                          <w:rPr>
                            <w:rFonts w:eastAsia="Times New Roman"/>
                            <w:color w:val="93378A"/>
                          </w:rPr>
                          <w:t>Monday 10th January 2022</w:t>
                        </w:r>
                      </w:p>
                    </w:tc>
                  </w:tr>
                </w:tbl>
                <w:p w14:paraId="2C814BFB" w14:textId="77777777" w:rsidR="006A3C6C" w:rsidRDefault="006A3C6C">
                  <w:pPr>
                    <w:rPr>
                      <w:rFonts w:ascii="Times New Roman" w:eastAsia="Times New Roman" w:hAnsi="Times New Roman" w:cs="Times New Roman"/>
                      <w:sz w:val="20"/>
                      <w:szCs w:val="20"/>
                    </w:rPr>
                  </w:pPr>
                </w:p>
              </w:tc>
            </w:tr>
            <w:tr w:rsidR="006A3C6C" w14:paraId="5567CE89" w14:textId="77777777">
              <w:tblPrEx>
                <w:shd w:val="clear" w:color="auto" w:fill="auto"/>
              </w:tblPrEx>
              <w:trPr>
                <w:tblCellSpacing w:w="0" w:type="dxa"/>
                <w:jc w:val="center"/>
              </w:trPr>
              <w:tc>
                <w:tcPr>
                  <w:tcW w:w="9000" w:type="dxa"/>
                  <w:hideMark/>
                </w:tcPr>
                <w:p w14:paraId="51917CA6" w14:textId="41C84623" w:rsidR="006A3C6C" w:rsidRDefault="006A3C6C">
                  <w:pPr>
                    <w:rPr>
                      <w:rFonts w:eastAsia="Times New Roman"/>
                    </w:rPr>
                  </w:pPr>
                  <w:r>
                    <w:rPr>
                      <w:rFonts w:eastAsia="Times New Roman"/>
                      <w:noProof/>
                    </w:rPr>
                    <w:drawing>
                      <wp:inline distT="0" distB="0" distL="0" distR="0" wp14:anchorId="60D0B353" wp14:editId="6910BA4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A3C6C" w14:paraId="6F0C80E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6A3C6C" w14:paraId="50442F3B" w14:textId="77777777">
                    <w:trPr>
                      <w:trHeight w:val="150"/>
                      <w:tblCellSpacing w:w="15" w:type="dxa"/>
                      <w:jc w:val="center"/>
                    </w:trPr>
                    <w:tc>
                      <w:tcPr>
                        <w:tcW w:w="150" w:type="dxa"/>
                        <w:vAlign w:val="center"/>
                        <w:hideMark/>
                      </w:tcPr>
                      <w:p w14:paraId="0A6B3CA2" w14:textId="77777777" w:rsidR="006A3C6C" w:rsidRDefault="006A3C6C">
                        <w:pPr>
                          <w:rPr>
                            <w:rFonts w:eastAsia="Times New Roman"/>
                          </w:rPr>
                        </w:pPr>
                      </w:p>
                    </w:tc>
                    <w:tc>
                      <w:tcPr>
                        <w:tcW w:w="8700" w:type="dxa"/>
                        <w:vAlign w:val="center"/>
                        <w:hideMark/>
                      </w:tcPr>
                      <w:p w14:paraId="4F01C4AE" w14:textId="77777777" w:rsidR="006A3C6C" w:rsidRDefault="006A3C6C">
                        <w:pPr>
                          <w:rPr>
                            <w:rFonts w:ascii="Times New Roman" w:eastAsia="Times New Roman" w:hAnsi="Times New Roman" w:cs="Times New Roman"/>
                            <w:sz w:val="20"/>
                            <w:szCs w:val="20"/>
                          </w:rPr>
                        </w:pPr>
                      </w:p>
                    </w:tc>
                    <w:tc>
                      <w:tcPr>
                        <w:tcW w:w="150" w:type="dxa"/>
                        <w:vAlign w:val="center"/>
                        <w:hideMark/>
                      </w:tcPr>
                      <w:p w14:paraId="11E31909" w14:textId="77777777" w:rsidR="006A3C6C" w:rsidRDefault="006A3C6C">
                        <w:pPr>
                          <w:rPr>
                            <w:rFonts w:ascii="Times New Roman" w:eastAsia="Times New Roman" w:hAnsi="Times New Roman" w:cs="Times New Roman"/>
                            <w:sz w:val="20"/>
                            <w:szCs w:val="20"/>
                          </w:rPr>
                        </w:pPr>
                      </w:p>
                    </w:tc>
                  </w:tr>
                  <w:tr w:rsidR="006A3C6C" w14:paraId="7D55B96B" w14:textId="77777777">
                    <w:trPr>
                      <w:tblCellSpacing w:w="15" w:type="dxa"/>
                      <w:jc w:val="center"/>
                    </w:trPr>
                    <w:tc>
                      <w:tcPr>
                        <w:tcW w:w="150" w:type="dxa"/>
                        <w:vAlign w:val="center"/>
                        <w:hideMark/>
                      </w:tcPr>
                      <w:p w14:paraId="62D4D6C7" w14:textId="77777777" w:rsidR="006A3C6C" w:rsidRDefault="006A3C6C">
                        <w:pPr>
                          <w:rPr>
                            <w:rFonts w:ascii="Times New Roman" w:eastAsia="Times New Roman" w:hAnsi="Times New Roman" w:cs="Times New Roman"/>
                            <w:sz w:val="20"/>
                            <w:szCs w:val="20"/>
                          </w:rPr>
                        </w:pPr>
                      </w:p>
                    </w:tc>
                    <w:tc>
                      <w:tcPr>
                        <w:tcW w:w="8700" w:type="dxa"/>
                        <w:vAlign w:val="center"/>
                        <w:hideMark/>
                      </w:tcPr>
                      <w:p w14:paraId="1A408329" w14:textId="77777777" w:rsidR="006A3C6C" w:rsidRDefault="006A3C6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37F480D4" w14:textId="77777777" w:rsidR="006A3C6C" w:rsidRDefault="006A3C6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17C678C">
                            <v:rect id="_x0000_i1032" style="width:468pt;height:1.5pt" o:hralign="center" o:hrstd="t" o:hr="t" fillcolor="#a0a0a0" stroked="f"/>
                          </w:pict>
                        </w:r>
                      </w:p>
                      <w:p w14:paraId="39FF230D" w14:textId="77777777" w:rsidR="006A3C6C" w:rsidRDefault="006A3C6C">
                        <w:pPr>
                          <w:pStyle w:val="Heading2"/>
                          <w:rPr>
                            <w:rFonts w:eastAsia="Times New Roman"/>
                          </w:rPr>
                        </w:pPr>
                        <w:r>
                          <w:rPr>
                            <w:rFonts w:eastAsia="Times New Roman"/>
                          </w:rPr>
                          <w:t>In this update: New CPhO appointed; scheduled MYS maintenance; PhAS </w:t>
                        </w:r>
                        <w:r>
                          <w:rPr>
                            <w:rStyle w:val="Strong"/>
                            <w:rFonts w:eastAsia="Times New Roman"/>
                            <w:b/>
                            <w:bCs/>
                          </w:rPr>
                          <w:t>review application window</w:t>
                        </w:r>
                        <w:r>
                          <w:rPr>
                            <w:rFonts w:eastAsia="Times New Roman"/>
                          </w:rPr>
                          <w:t>; upcoming APTUK meeting.</w:t>
                        </w:r>
                      </w:p>
                      <w:p w14:paraId="0BF081FE" w14:textId="77777777" w:rsidR="006A3C6C" w:rsidRDefault="006A3C6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C9D4205">
                            <v:rect id="_x0000_i1033" style="width:468pt;height:1.5pt" o:hralign="center" o:hrstd="t" o:hr="t" fillcolor="#a0a0a0" stroked="f"/>
                          </w:pict>
                        </w:r>
                      </w:p>
                      <w:p w14:paraId="24B79FB4" w14:textId="77777777" w:rsidR="006A3C6C" w:rsidRDefault="006A3C6C" w:rsidP="006A3C6C">
                        <w:pPr>
                          <w:pStyle w:val="Heading3"/>
                          <w:spacing w:after="0"/>
                          <w:rPr>
                            <w:rFonts w:eastAsia="Times New Roman"/>
                          </w:rPr>
                        </w:pPr>
                        <w:r>
                          <w:rPr>
                            <w:rFonts w:eastAsia="Times New Roman"/>
                          </w:rPr>
                          <w:t>New Chief Pharmacist appointed</w:t>
                        </w:r>
                      </w:p>
                      <w:p w14:paraId="3376793C" w14:textId="6B5A94FC"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has confirmed the appointment of David Webb as the next Chief Pharmaceutical Officer (CPhO) for England. Mr Webb is currently Chief Pharmacist and Clinical Director for Pharmacy and Medicines Optimisation at Guy’s and St Thomas’ NHS Foundation and will start his new role in February.</w:t>
                        </w:r>
                        <w:r>
                          <w:rPr>
                            <w:rFonts w:ascii="Tahoma" w:eastAsia="Times New Roman" w:hAnsi="Tahoma" w:cs="Tahoma"/>
                            <w:color w:val="303030"/>
                            <w:sz w:val="21"/>
                            <w:szCs w:val="21"/>
                          </w:rPr>
                          <w:br/>
                        </w:r>
                        <w:r>
                          <w:rPr>
                            <w:rFonts w:ascii="Tahoma" w:eastAsia="Times New Roman" w:hAnsi="Tahoma" w:cs="Tahoma"/>
                            <w:color w:val="303030"/>
                            <w:sz w:val="21"/>
                            <w:szCs w:val="21"/>
                          </w:rPr>
                          <w:br/>
                          <w:t>PSNC would like to congratulate David on his new position. We look forward to working closely with him over the coming years. We also want to take this opportunity to thank the outgoing Chief Pharmacist, Dr Keith Ridge CBE, for his 16 years of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about this appointment</w:t>
                          </w:r>
                        </w:hyperlink>
                        <w:r>
                          <w:rPr>
                            <w:rFonts w:ascii="Tahoma" w:eastAsia="Times New Roman" w:hAnsi="Tahoma" w:cs="Tahoma"/>
                            <w:color w:val="303030"/>
                            <w:sz w:val="21"/>
                            <w:szCs w:val="21"/>
                          </w:rPr>
                          <w:t xml:space="preserve"> </w:t>
                        </w:r>
                      </w:p>
                      <w:p w14:paraId="6315B927" w14:textId="77777777"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FAA3B1">
                            <v:rect id="_x0000_i1034" style="width:468pt;height:1.5pt" o:hrstd="t" o:hr="t" fillcolor="#a0a0a0" stroked="f"/>
                          </w:pict>
                        </w:r>
                      </w:p>
                      <w:p w14:paraId="536CFC83" w14:textId="77777777" w:rsidR="006A3C6C" w:rsidRDefault="006A3C6C" w:rsidP="006A3C6C">
                        <w:pPr>
                          <w:pStyle w:val="Heading3"/>
                          <w:spacing w:after="0"/>
                          <w:rPr>
                            <w:rFonts w:eastAsia="Times New Roman"/>
                          </w:rPr>
                        </w:pPr>
                        <w:r>
                          <w:rPr>
                            <w:rFonts w:eastAsia="Times New Roman"/>
                          </w:rPr>
                          <w:t>Scheduled MYS maintenance</w:t>
                        </w:r>
                      </w:p>
                      <w:p w14:paraId="17200449" w14:textId="0D1265BC"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Business Services Authority (NHSBSA) has alerted PSNC that the Manage Your Service (MYS) portal will be unavailable for community pharmacy contractors between </w:t>
                        </w:r>
                        <w:r>
                          <w:rPr>
                            <w:rStyle w:val="Strong"/>
                            <w:rFonts w:ascii="Tahoma" w:eastAsia="Times New Roman" w:hAnsi="Tahoma" w:cs="Tahoma"/>
                            <w:color w:val="303030"/>
                            <w:sz w:val="21"/>
                            <w:szCs w:val="21"/>
                          </w:rPr>
                          <w:t>7am and 12noon on Wednesday 12th January 2022</w:t>
                        </w:r>
                        <w:r>
                          <w:rPr>
                            <w:rFonts w:ascii="Tahoma" w:eastAsia="Times New Roman" w:hAnsi="Tahoma" w:cs="Tahoma"/>
                            <w:color w:val="303030"/>
                            <w:sz w:val="21"/>
                            <w:szCs w:val="21"/>
                          </w:rPr>
                          <w:t>, due to essential maintenance scheduled during this time.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about MYS</w:t>
                          </w:r>
                        </w:hyperlink>
                        <w:r>
                          <w:rPr>
                            <w:rFonts w:ascii="Tahoma" w:eastAsia="Times New Roman" w:hAnsi="Tahoma" w:cs="Tahoma"/>
                            <w:color w:val="303030"/>
                            <w:sz w:val="21"/>
                            <w:szCs w:val="21"/>
                          </w:rPr>
                          <w:t xml:space="preserve"> </w:t>
                        </w:r>
                      </w:p>
                      <w:p w14:paraId="42511E11" w14:textId="77777777"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668A08">
                            <v:rect id="_x0000_i1035" style="width:468pt;height:1.5pt" o:hrstd="t" o:hr="t" fillcolor="#a0a0a0" stroked="f"/>
                          </w:pict>
                        </w:r>
                      </w:p>
                      <w:p w14:paraId="3CFB38D5" w14:textId="77777777" w:rsidR="006A3C6C" w:rsidRDefault="006A3C6C" w:rsidP="006A3C6C">
                        <w:pPr>
                          <w:pStyle w:val="Heading3"/>
                          <w:spacing w:after="0"/>
                          <w:rPr>
                            <w:rFonts w:eastAsia="Times New Roman"/>
                          </w:rPr>
                        </w:pPr>
                        <w:r>
                          <w:rPr>
                            <w:rFonts w:eastAsia="Times New Roman"/>
                          </w:rPr>
                          <w:t>Pharmacy Access Scheme review application window</w:t>
                        </w:r>
                      </w:p>
                      <w:p w14:paraId="0CC0283C" w14:textId="15D59D37"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contractors that the </w:t>
                        </w:r>
                        <w:r>
                          <w:rPr>
                            <w:rStyle w:val="Strong"/>
                            <w:rFonts w:ascii="Tahoma" w:eastAsia="Times New Roman" w:hAnsi="Tahoma" w:cs="Tahoma"/>
                            <w:color w:val="303030"/>
                            <w:sz w:val="21"/>
                            <w:szCs w:val="21"/>
                          </w:rPr>
                          <w:t>review application window</w:t>
                        </w:r>
                        <w:r>
                          <w:rPr>
                            <w:rFonts w:ascii="Tahoma" w:eastAsia="Times New Roman" w:hAnsi="Tahoma" w:cs="Tahoma"/>
                            <w:color w:val="303030"/>
                            <w:sz w:val="21"/>
                            <w:szCs w:val="21"/>
                          </w:rPr>
                          <w:t> for the revised version of the Pharmacy Access Scheme (PhAS) is open until</w:t>
                        </w:r>
                        <w:r>
                          <w:rPr>
                            <w:rStyle w:val="Strong"/>
                            <w:rFonts w:ascii="Tahoma" w:eastAsia="Times New Roman" w:hAnsi="Tahoma" w:cs="Tahoma"/>
                            <w:color w:val="303030"/>
                            <w:sz w:val="21"/>
                            <w:szCs w:val="21"/>
                          </w:rPr>
                          <w:t> midnight on 4th February 2022</w:t>
                        </w:r>
                        <w:r>
                          <w:rPr>
                            <w:rFonts w:ascii="Tahoma" w:eastAsia="Times New Roman" w:hAnsi="Tahoma" w:cs="Tahoma"/>
                            <w:color w:val="303030"/>
                            <w:sz w:val="21"/>
                            <w:szCs w:val="21"/>
                          </w:rPr>
                          <w:t>. Please note, applications must be made using the NHSE&amp;I web review portal and it is important to gather all the evidence you need for an application before you start 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2D44C01" w14:textId="77777777"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CA0862">
                            <v:rect id="_x0000_i1036" style="width:468pt;height:1.5pt" o:hrstd="t" o:hr="t" fillcolor="#a0a0a0" stroked="f"/>
                          </w:pict>
                        </w:r>
                      </w:p>
                      <w:p w14:paraId="5E44340A" w14:textId="77777777" w:rsidR="00345AFB" w:rsidRDefault="00345AFB" w:rsidP="006A3C6C">
                        <w:pPr>
                          <w:pStyle w:val="Heading3"/>
                          <w:spacing w:after="0"/>
                          <w:rPr>
                            <w:rFonts w:eastAsia="Times New Roman"/>
                          </w:rPr>
                        </w:pPr>
                      </w:p>
                      <w:p w14:paraId="3AAFDA4D" w14:textId="77777777" w:rsidR="00345AFB" w:rsidRDefault="00345AFB" w:rsidP="006A3C6C">
                        <w:pPr>
                          <w:pStyle w:val="Heading3"/>
                          <w:spacing w:after="0"/>
                          <w:rPr>
                            <w:rFonts w:eastAsia="Times New Roman"/>
                          </w:rPr>
                        </w:pPr>
                      </w:p>
                      <w:p w14:paraId="6574A3C5" w14:textId="798D3ED1" w:rsidR="006A3C6C" w:rsidRDefault="006A3C6C" w:rsidP="006A3C6C">
                        <w:pPr>
                          <w:pStyle w:val="Heading3"/>
                          <w:spacing w:after="0"/>
                          <w:rPr>
                            <w:rFonts w:eastAsia="Times New Roman"/>
                          </w:rPr>
                        </w:pPr>
                        <w:r>
                          <w:rPr>
                            <w:rFonts w:eastAsia="Times New Roman"/>
                          </w:rPr>
                          <w:lastRenderedPageBreak/>
                          <w:t>Upcoming APTUK meeting</w:t>
                        </w:r>
                      </w:p>
                      <w:p w14:paraId="46BB9B80" w14:textId="344789DE" w:rsidR="006A3C6C" w:rsidRDefault="006A3C6C" w:rsidP="006A3C6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next meeting of the Association of Pharmacy Technicians UK (APTUK) Community Pharmacy Branch will take place on </w:t>
                        </w:r>
                        <w:r>
                          <w:rPr>
                            <w:rStyle w:val="Strong"/>
                            <w:rFonts w:ascii="Tahoma" w:eastAsia="Times New Roman" w:hAnsi="Tahoma" w:cs="Tahoma"/>
                            <w:color w:val="303030"/>
                            <w:sz w:val="21"/>
                            <w:szCs w:val="21"/>
                          </w:rPr>
                          <w:t>17th January 2022</w:t>
                        </w:r>
                        <w:r>
                          <w:rPr>
                            <w:rFonts w:ascii="Tahoma" w:eastAsia="Times New Roman" w:hAnsi="Tahoma" w:cs="Tahoma"/>
                            <w:color w:val="303030"/>
                            <w:sz w:val="21"/>
                            <w:szCs w:val="21"/>
                          </w:rPr>
                          <w:t xml:space="preserve">, from </w:t>
                        </w:r>
                        <w:r>
                          <w:rPr>
                            <w:rStyle w:val="Strong"/>
                            <w:rFonts w:ascii="Tahoma" w:eastAsia="Times New Roman" w:hAnsi="Tahoma" w:cs="Tahoma"/>
                            <w:color w:val="303030"/>
                            <w:sz w:val="21"/>
                            <w:szCs w:val="21"/>
                          </w:rPr>
                          <w:t>7.30-9.00pm</w:t>
                        </w:r>
                        <w:r>
                          <w:rPr>
                            <w:rFonts w:ascii="Tahoma" w:eastAsia="Times New Roman" w:hAnsi="Tahoma" w:cs="Tahoma"/>
                            <w:color w:val="303030"/>
                            <w:sz w:val="21"/>
                            <w:szCs w:val="21"/>
                          </w:rPr>
                          <w:t>.</w:t>
                        </w:r>
                        <w:r>
                          <w:rPr>
                            <w:rFonts w:ascii="Tahoma" w:eastAsia="Times New Roman" w:hAnsi="Tahoma" w:cs="Tahoma"/>
                            <w:color w:val="303030"/>
                            <w:sz w:val="21"/>
                            <w:szCs w:val="21"/>
                          </w:rPr>
                          <w:br/>
                        </w:r>
                      </w:p>
                      <w:p w14:paraId="26495CA9" w14:textId="77777777" w:rsidR="006A3C6C" w:rsidRDefault="006A3C6C" w:rsidP="006A3C6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this online meeting, experts in clinical governance and patient safety will give presentations and discuss how pharmacy technicians can contribute to these critical issues. For further information about this meeting or to register your interest in attending, please email </w:t>
                        </w:r>
                        <w:hyperlink r:id="rId11" w:tgtFrame="_blank" w:history="1">
                          <w:r>
                            <w:rPr>
                              <w:rStyle w:val="Hyperlink"/>
                              <w:rFonts w:ascii="Tahoma" w:hAnsi="Tahoma" w:cs="Tahoma"/>
                              <w:b/>
                              <w:bCs/>
                              <w:color w:val="4E3487"/>
                              <w:sz w:val="21"/>
                              <w:szCs w:val="21"/>
                            </w:rPr>
                            <w:t>communitybranch@aptuk.org</w:t>
                          </w:r>
                        </w:hyperlink>
                        <w:r>
                          <w:rPr>
                            <w:rFonts w:ascii="Tahoma" w:hAnsi="Tahoma" w:cs="Tahoma"/>
                            <w:color w:val="303030"/>
                            <w:sz w:val="21"/>
                            <w:szCs w:val="21"/>
                          </w:rPr>
                          <w:t>.</w:t>
                        </w:r>
                      </w:p>
                    </w:tc>
                    <w:tc>
                      <w:tcPr>
                        <w:tcW w:w="150" w:type="dxa"/>
                        <w:vAlign w:val="center"/>
                        <w:hideMark/>
                      </w:tcPr>
                      <w:p w14:paraId="67748D18" w14:textId="77777777" w:rsidR="006A3C6C" w:rsidRDefault="006A3C6C">
                        <w:pPr>
                          <w:rPr>
                            <w:rFonts w:ascii="Tahoma" w:hAnsi="Tahoma" w:cs="Tahoma"/>
                            <w:color w:val="303030"/>
                            <w:sz w:val="21"/>
                            <w:szCs w:val="21"/>
                          </w:rPr>
                        </w:pPr>
                      </w:p>
                    </w:tc>
                  </w:tr>
                  <w:tr w:rsidR="006A3C6C" w14:paraId="452DF4C0" w14:textId="77777777">
                    <w:trPr>
                      <w:trHeight w:val="150"/>
                      <w:tblCellSpacing w:w="15" w:type="dxa"/>
                      <w:jc w:val="center"/>
                    </w:trPr>
                    <w:tc>
                      <w:tcPr>
                        <w:tcW w:w="150" w:type="dxa"/>
                        <w:vAlign w:val="center"/>
                        <w:hideMark/>
                      </w:tcPr>
                      <w:p w14:paraId="5CB726B2" w14:textId="77777777" w:rsidR="006A3C6C" w:rsidRDefault="006A3C6C">
                        <w:pPr>
                          <w:rPr>
                            <w:rFonts w:ascii="Times New Roman" w:eastAsia="Times New Roman" w:hAnsi="Times New Roman" w:cs="Times New Roman"/>
                            <w:sz w:val="20"/>
                            <w:szCs w:val="20"/>
                          </w:rPr>
                        </w:pPr>
                      </w:p>
                    </w:tc>
                    <w:tc>
                      <w:tcPr>
                        <w:tcW w:w="8700" w:type="dxa"/>
                        <w:vAlign w:val="center"/>
                        <w:hideMark/>
                      </w:tcPr>
                      <w:p w14:paraId="795458FF" w14:textId="77777777" w:rsidR="006A3C6C" w:rsidRDefault="006A3C6C">
                        <w:pPr>
                          <w:rPr>
                            <w:rFonts w:ascii="Times New Roman" w:eastAsia="Times New Roman" w:hAnsi="Times New Roman" w:cs="Times New Roman"/>
                            <w:sz w:val="20"/>
                            <w:szCs w:val="20"/>
                          </w:rPr>
                        </w:pPr>
                      </w:p>
                    </w:tc>
                    <w:tc>
                      <w:tcPr>
                        <w:tcW w:w="150" w:type="dxa"/>
                        <w:vAlign w:val="center"/>
                        <w:hideMark/>
                      </w:tcPr>
                      <w:p w14:paraId="33E722C7" w14:textId="77777777" w:rsidR="006A3C6C" w:rsidRDefault="006A3C6C">
                        <w:pPr>
                          <w:rPr>
                            <w:rFonts w:ascii="Times New Roman" w:eastAsia="Times New Roman" w:hAnsi="Times New Roman" w:cs="Times New Roman"/>
                            <w:sz w:val="20"/>
                            <w:szCs w:val="20"/>
                          </w:rPr>
                        </w:pPr>
                      </w:p>
                    </w:tc>
                  </w:tr>
                </w:tbl>
                <w:p w14:paraId="0F133608" w14:textId="77777777" w:rsidR="006A3C6C" w:rsidRDefault="006A3C6C">
                  <w:pPr>
                    <w:jc w:val="center"/>
                    <w:rPr>
                      <w:rFonts w:ascii="Times New Roman" w:eastAsia="Times New Roman" w:hAnsi="Times New Roman" w:cs="Times New Roman"/>
                      <w:sz w:val="20"/>
                      <w:szCs w:val="20"/>
                    </w:rPr>
                  </w:pPr>
                </w:p>
              </w:tc>
            </w:tr>
          </w:tbl>
          <w:p w14:paraId="4DBB3B39" w14:textId="77777777" w:rsidR="006A3C6C" w:rsidRDefault="006A3C6C">
            <w:pPr>
              <w:jc w:val="center"/>
              <w:rPr>
                <w:rFonts w:ascii="Times New Roman" w:eastAsia="Times New Roman" w:hAnsi="Times New Roman" w:cs="Times New Roman"/>
                <w:sz w:val="20"/>
                <w:szCs w:val="20"/>
              </w:rPr>
            </w:pPr>
          </w:p>
        </w:tc>
      </w:tr>
      <w:tr w:rsidR="006A3C6C" w14:paraId="0BC41DC7" w14:textId="77777777" w:rsidTr="006A3C6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A3C6C" w14:paraId="43F1728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A3C6C" w14:paraId="70CB0EB5" w14:textId="77777777">
                    <w:trPr>
                      <w:tblCellSpacing w:w="0" w:type="dxa"/>
                      <w:jc w:val="center"/>
                    </w:trPr>
                    <w:tc>
                      <w:tcPr>
                        <w:tcW w:w="3000" w:type="dxa"/>
                        <w:tcMar>
                          <w:top w:w="30" w:type="dxa"/>
                          <w:left w:w="75" w:type="dxa"/>
                          <w:bottom w:w="30" w:type="dxa"/>
                          <w:right w:w="75" w:type="dxa"/>
                        </w:tcMar>
                        <w:hideMark/>
                      </w:tcPr>
                      <w:p w14:paraId="65E7F82F" w14:textId="77777777" w:rsidR="006A3C6C" w:rsidRDefault="006A3C6C">
                        <w:pPr>
                          <w:pStyle w:val="Heading4"/>
                          <w:jc w:val="center"/>
                          <w:rPr>
                            <w:rFonts w:eastAsia="Times New Roman"/>
                          </w:rPr>
                        </w:pPr>
                        <w:r>
                          <w:rPr>
                            <w:rFonts w:eastAsia="Times New Roman"/>
                          </w:rPr>
                          <w:lastRenderedPageBreak/>
                          <w:t>Pharmaceutical Services Negotiating Committee</w:t>
                        </w:r>
                      </w:p>
                      <w:p w14:paraId="0F291DBC" w14:textId="118369D9" w:rsidR="006A3C6C" w:rsidRDefault="006A3C6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6B06945" wp14:editId="2CD8BACF">
                              <wp:extent cx="609600" cy="304800"/>
                              <wp:effectExtent l="0" t="0" r="0" b="0"/>
                              <wp:docPr id="5" name="Picture 5" descr="Graphical user interface&#10;&#10;Description automatically generated">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8C37BD2" wp14:editId="297765F1">
                              <wp:extent cx="609600" cy="304800"/>
                              <wp:effectExtent l="0" t="0" r="0" b="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71F584" wp14:editId="5411FBD9">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E494B5" wp14:editId="24440779">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7667609" w14:textId="77777777" w:rsidR="006A3C6C" w:rsidRDefault="006A3C6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A3C6C" w14:paraId="57FD6B81" w14:textId="77777777" w:rsidTr="006A3C6C">
                    <w:trPr>
                      <w:trHeight w:val="20"/>
                      <w:tblCellSpacing w:w="0" w:type="dxa"/>
                      <w:jc w:val="center"/>
                    </w:trPr>
                    <w:tc>
                      <w:tcPr>
                        <w:tcW w:w="9000" w:type="dxa"/>
                        <w:tcMar>
                          <w:top w:w="150" w:type="dxa"/>
                          <w:left w:w="0" w:type="dxa"/>
                          <w:bottom w:w="0" w:type="dxa"/>
                          <w:right w:w="0" w:type="dxa"/>
                        </w:tcMar>
                        <w:vAlign w:val="center"/>
                        <w:hideMark/>
                      </w:tcPr>
                      <w:p w14:paraId="390034FC" w14:textId="71E9EC46" w:rsidR="006A3C6C" w:rsidRDefault="006A3C6C" w:rsidP="006A3C6C">
                        <w:pPr>
                          <w:rPr>
                            <w:rFonts w:ascii="Arial" w:eastAsia="Times New Roman" w:hAnsi="Arial" w:cs="Arial"/>
                            <w:color w:val="FFFFFF"/>
                            <w:sz w:val="17"/>
                            <w:szCs w:val="17"/>
                          </w:rPr>
                        </w:pPr>
                      </w:p>
                    </w:tc>
                  </w:tr>
                </w:tbl>
                <w:p w14:paraId="30122A67" w14:textId="77777777" w:rsidR="006A3C6C" w:rsidRDefault="006A3C6C">
                  <w:pPr>
                    <w:jc w:val="center"/>
                    <w:rPr>
                      <w:rFonts w:ascii="Times New Roman" w:eastAsia="Times New Roman" w:hAnsi="Times New Roman" w:cs="Times New Roman"/>
                      <w:sz w:val="20"/>
                      <w:szCs w:val="20"/>
                    </w:rPr>
                  </w:pPr>
                </w:p>
              </w:tc>
            </w:tr>
          </w:tbl>
          <w:p w14:paraId="20C39F54" w14:textId="77777777" w:rsidR="006A3C6C" w:rsidRDefault="006A3C6C">
            <w:pPr>
              <w:jc w:val="center"/>
              <w:rPr>
                <w:rFonts w:ascii="Times New Roman" w:eastAsia="Times New Roman" w:hAnsi="Times New Roman" w:cs="Times New Roman"/>
                <w:sz w:val="20"/>
                <w:szCs w:val="20"/>
              </w:rPr>
            </w:pPr>
          </w:p>
        </w:tc>
      </w:tr>
    </w:tbl>
    <w:p w14:paraId="7DB720F9" w14:textId="683789BD" w:rsidR="006A3C6C" w:rsidRDefault="006A3C6C" w:rsidP="006A3C6C">
      <w:pPr>
        <w:rPr>
          <w:rFonts w:eastAsia="Times New Roman"/>
        </w:rPr>
      </w:pPr>
      <w:r>
        <w:rPr>
          <w:rFonts w:eastAsia="Times New Roman"/>
          <w:noProof/>
        </w:rPr>
        <w:drawing>
          <wp:inline distT="0" distB="0" distL="0" distR="0" wp14:anchorId="2029AFBC" wp14:editId="55CE58F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0A2E6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6C"/>
    <w:rsid w:val="00345AFB"/>
    <w:rsid w:val="006A3C6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36AD"/>
  <w15:chartTrackingRefBased/>
  <w15:docId w15:val="{49F87CFC-3949-4886-A3E4-E257B1E7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6C"/>
    <w:rPr>
      <w:rFonts w:ascii="Calibri" w:hAnsi="Calibri" w:cs="Calibri"/>
      <w:lang w:eastAsia="en-GB"/>
    </w:rPr>
  </w:style>
  <w:style w:type="paragraph" w:styleId="Heading1">
    <w:name w:val="heading 1"/>
    <w:basedOn w:val="Normal"/>
    <w:link w:val="Heading1Char"/>
    <w:uiPriority w:val="9"/>
    <w:qFormat/>
    <w:rsid w:val="006A3C6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A3C6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A3C6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A3C6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6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A3C6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A3C6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A3C6C"/>
    <w:rPr>
      <w:rFonts w:ascii="Tahoma" w:hAnsi="Tahoma" w:cs="Tahoma"/>
      <w:b/>
      <w:bCs/>
      <w:color w:val="FFFFFF"/>
      <w:sz w:val="18"/>
      <w:szCs w:val="18"/>
      <w:lang w:eastAsia="en-GB"/>
    </w:rPr>
  </w:style>
  <w:style w:type="paragraph" w:styleId="NormalWeb">
    <w:name w:val="Normal (Web)"/>
    <w:basedOn w:val="Normal"/>
    <w:uiPriority w:val="99"/>
    <w:semiHidden/>
    <w:unhideWhenUsed/>
    <w:rsid w:val="006A3C6C"/>
    <w:pPr>
      <w:spacing w:before="100" w:beforeAutospacing="1" w:after="100" w:afterAutospacing="1"/>
    </w:pPr>
  </w:style>
  <w:style w:type="character" w:styleId="Strong">
    <w:name w:val="Strong"/>
    <w:basedOn w:val="DefaultParagraphFont"/>
    <w:uiPriority w:val="22"/>
    <w:qFormat/>
    <w:rsid w:val="006A3C6C"/>
    <w:rPr>
      <w:b/>
      <w:bCs/>
    </w:rPr>
  </w:style>
  <w:style w:type="character" w:styleId="Hyperlink">
    <w:name w:val="Hyperlink"/>
    <w:basedOn w:val="DefaultParagraphFont"/>
    <w:uiPriority w:val="99"/>
    <w:semiHidden/>
    <w:unhideWhenUsed/>
    <w:rsid w:val="006A3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bb10acf0d&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e3dc0a7f59&amp;e=d19e9fd41c" TargetMode="External"/><Relationship Id="rId26" Type="http://schemas.openxmlformats.org/officeDocument/2006/relationships/image" Target="https://psnc.us7.list-manage.com/track/open.php?u=86d41ab7fa4c7c2c5d7210782&amp;id=0c2d1c2731&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f49dc4514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354242602&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communitybranch@aptuk.org"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854069d03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39c972fc5&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70a8d858bd&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2022-01-11T08:19:00Z</dcterms:created>
  <dcterms:modified xsi:type="dcterms:W3CDTF">2022-01-11T08:23:00Z</dcterms:modified>
</cp:coreProperties>
</file>