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662B3" w14:paraId="5A3A5600" w14:textId="77777777" w:rsidTr="006662B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662B3" w14:paraId="5FF825D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662B3" w14:paraId="07394880" w14:textId="77777777">
                    <w:trPr>
                      <w:tblCellSpacing w:w="0" w:type="dxa"/>
                      <w:jc w:val="center"/>
                    </w:trPr>
                    <w:tc>
                      <w:tcPr>
                        <w:tcW w:w="3000" w:type="dxa"/>
                        <w:hideMark/>
                      </w:tcPr>
                      <w:p w14:paraId="2F3B0B9D" w14:textId="0FE58E17" w:rsidR="006662B3" w:rsidRDefault="006662B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B9F0E66" w14:textId="77777777" w:rsidR="006662B3" w:rsidRDefault="006662B3">
                  <w:pPr>
                    <w:jc w:val="center"/>
                    <w:rPr>
                      <w:rFonts w:ascii="Times New Roman" w:eastAsia="Times New Roman" w:hAnsi="Times New Roman" w:cs="Times New Roman"/>
                      <w:sz w:val="20"/>
                      <w:szCs w:val="20"/>
                    </w:rPr>
                  </w:pPr>
                </w:p>
              </w:tc>
            </w:tr>
            <w:tr w:rsidR="006662B3" w14:paraId="3B96BBE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662B3" w14:paraId="7D80AC9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3B83971" w14:textId="25F1D633" w:rsidR="006662B3" w:rsidRDefault="006662B3">
                        <w:pPr>
                          <w:jc w:val="center"/>
                          <w:rPr>
                            <w:rFonts w:eastAsia="Times New Roman"/>
                          </w:rPr>
                        </w:pPr>
                        <w:r>
                          <w:rPr>
                            <w:rFonts w:eastAsia="Times New Roman"/>
                            <w:noProof/>
                          </w:rPr>
                          <w:drawing>
                            <wp:inline distT="0" distB="0" distL="0" distR="0" wp14:anchorId="0FE01F97" wp14:editId="1E4DB3A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662B3" w14:paraId="023CB308" w14:textId="77777777">
                    <w:trPr>
                      <w:tblCellSpacing w:w="0" w:type="dxa"/>
                    </w:trPr>
                    <w:tc>
                      <w:tcPr>
                        <w:tcW w:w="0" w:type="auto"/>
                        <w:vMerge/>
                        <w:tcBorders>
                          <w:top w:val="nil"/>
                          <w:left w:val="nil"/>
                          <w:bottom w:val="single" w:sz="2" w:space="0" w:color="FFFFFF"/>
                          <w:right w:val="nil"/>
                        </w:tcBorders>
                        <w:vAlign w:val="center"/>
                        <w:hideMark/>
                      </w:tcPr>
                      <w:p w14:paraId="4C693514" w14:textId="77777777" w:rsidR="006662B3" w:rsidRDefault="006662B3">
                        <w:pPr>
                          <w:rPr>
                            <w:rFonts w:eastAsia="Times New Roman"/>
                          </w:rPr>
                        </w:pPr>
                      </w:p>
                    </w:tc>
                    <w:tc>
                      <w:tcPr>
                        <w:tcW w:w="3450" w:type="dxa"/>
                        <w:tcBorders>
                          <w:top w:val="nil"/>
                          <w:left w:val="nil"/>
                          <w:bottom w:val="nil"/>
                          <w:right w:val="nil"/>
                        </w:tcBorders>
                        <w:vAlign w:val="center"/>
                        <w:hideMark/>
                      </w:tcPr>
                      <w:p w14:paraId="7B262A96" w14:textId="77777777" w:rsidR="006662B3" w:rsidRDefault="006662B3">
                        <w:pPr>
                          <w:pStyle w:val="Heading1"/>
                          <w:rPr>
                            <w:rFonts w:eastAsia="Times New Roman"/>
                          </w:rPr>
                        </w:pPr>
                        <w:r>
                          <w:rPr>
                            <w:rFonts w:eastAsia="Times New Roman"/>
                          </w:rPr>
                          <w:t>PSNC Newsletter</w:t>
                        </w:r>
                      </w:p>
                    </w:tc>
                  </w:tr>
                  <w:tr w:rsidR="006662B3" w14:paraId="66967BC7" w14:textId="77777777">
                    <w:trPr>
                      <w:tblCellSpacing w:w="0" w:type="dxa"/>
                    </w:trPr>
                    <w:tc>
                      <w:tcPr>
                        <w:tcW w:w="0" w:type="auto"/>
                        <w:vMerge/>
                        <w:tcBorders>
                          <w:top w:val="nil"/>
                          <w:left w:val="nil"/>
                          <w:bottom w:val="single" w:sz="2" w:space="0" w:color="FFFFFF"/>
                          <w:right w:val="nil"/>
                        </w:tcBorders>
                        <w:vAlign w:val="center"/>
                        <w:hideMark/>
                      </w:tcPr>
                      <w:p w14:paraId="6DACFB2B" w14:textId="77777777" w:rsidR="006662B3" w:rsidRDefault="006662B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02C827B" w14:textId="77777777" w:rsidR="006662B3" w:rsidRDefault="006662B3">
                        <w:pPr>
                          <w:pStyle w:val="Heading2"/>
                          <w:rPr>
                            <w:rFonts w:eastAsia="Times New Roman"/>
                            <w:color w:val="93378A"/>
                          </w:rPr>
                        </w:pPr>
                        <w:r>
                          <w:rPr>
                            <w:rFonts w:eastAsia="Times New Roman"/>
                            <w:color w:val="93378A"/>
                          </w:rPr>
                          <w:t>Friday 7th January 2022</w:t>
                        </w:r>
                      </w:p>
                    </w:tc>
                  </w:tr>
                </w:tbl>
                <w:p w14:paraId="36176BFE" w14:textId="77777777" w:rsidR="006662B3" w:rsidRDefault="006662B3">
                  <w:pPr>
                    <w:rPr>
                      <w:rFonts w:ascii="Times New Roman" w:eastAsia="Times New Roman" w:hAnsi="Times New Roman" w:cs="Times New Roman"/>
                      <w:sz w:val="20"/>
                      <w:szCs w:val="20"/>
                    </w:rPr>
                  </w:pPr>
                </w:p>
              </w:tc>
            </w:tr>
            <w:tr w:rsidR="006662B3" w14:paraId="3EED10E3" w14:textId="77777777">
              <w:tblPrEx>
                <w:shd w:val="clear" w:color="auto" w:fill="auto"/>
              </w:tblPrEx>
              <w:trPr>
                <w:tblCellSpacing w:w="0" w:type="dxa"/>
                <w:jc w:val="center"/>
              </w:trPr>
              <w:tc>
                <w:tcPr>
                  <w:tcW w:w="9000" w:type="dxa"/>
                  <w:hideMark/>
                </w:tcPr>
                <w:p w14:paraId="20B445F8" w14:textId="29723A69" w:rsidR="006662B3" w:rsidRDefault="006662B3">
                  <w:pPr>
                    <w:rPr>
                      <w:rFonts w:eastAsia="Times New Roman"/>
                    </w:rPr>
                  </w:pPr>
                  <w:r>
                    <w:rPr>
                      <w:rFonts w:eastAsia="Times New Roman"/>
                      <w:noProof/>
                    </w:rPr>
                    <w:drawing>
                      <wp:inline distT="0" distB="0" distL="0" distR="0" wp14:anchorId="2428A98A" wp14:editId="35F5956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662B3" w14:paraId="5EC447A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6662B3" w14:paraId="7AC120E4" w14:textId="77777777">
                    <w:trPr>
                      <w:trHeight w:val="150"/>
                      <w:tblCellSpacing w:w="15" w:type="dxa"/>
                      <w:jc w:val="center"/>
                    </w:trPr>
                    <w:tc>
                      <w:tcPr>
                        <w:tcW w:w="150" w:type="dxa"/>
                        <w:vAlign w:val="center"/>
                        <w:hideMark/>
                      </w:tcPr>
                      <w:p w14:paraId="27ADAD7B" w14:textId="77777777" w:rsidR="006662B3" w:rsidRDefault="006662B3">
                        <w:pPr>
                          <w:rPr>
                            <w:rFonts w:eastAsia="Times New Roman"/>
                          </w:rPr>
                        </w:pPr>
                      </w:p>
                    </w:tc>
                    <w:tc>
                      <w:tcPr>
                        <w:tcW w:w="8700" w:type="dxa"/>
                        <w:vAlign w:val="center"/>
                        <w:hideMark/>
                      </w:tcPr>
                      <w:p w14:paraId="4CE5196E" w14:textId="77777777" w:rsidR="006662B3" w:rsidRDefault="006662B3">
                        <w:pPr>
                          <w:rPr>
                            <w:rFonts w:ascii="Times New Roman" w:eastAsia="Times New Roman" w:hAnsi="Times New Roman" w:cs="Times New Roman"/>
                            <w:sz w:val="20"/>
                            <w:szCs w:val="20"/>
                          </w:rPr>
                        </w:pPr>
                      </w:p>
                    </w:tc>
                    <w:tc>
                      <w:tcPr>
                        <w:tcW w:w="150" w:type="dxa"/>
                        <w:vAlign w:val="center"/>
                        <w:hideMark/>
                      </w:tcPr>
                      <w:p w14:paraId="0C0D7152" w14:textId="77777777" w:rsidR="006662B3" w:rsidRDefault="006662B3">
                        <w:pPr>
                          <w:rPr>
                            <w:rFonts w:ascii="Times New Roman" w:eastAsia="Times New Roman" w:hAnsi="Times New Roman" w:cs="Times New Roman"/>
                            <w:sz w:val="20"/>
                            <w:szCs w:val="20"/>
                          </w:rPr>
                        </w:pPr>
                      </w:p>
                    </w:tc>
                  </w:tr>
                  <w:tr w:rsidR="006662B3" w14:paraId="2F5E47BB" w14:textId="77777777">
                    <w:trPr>
                      <w:tblCellSpacing w:w="15" w:type="dxa"/>
                      <w:jc w:val="center"/>
                    </w:trPr>
                    <w:tc>
                      <w:tcPr>
                        <w:tcW w:w="150" w:type="dxa"/>
                        <w:vAlign w:val="center"/>
                        <w:hideMark/>
                      </w:tcPr>
                      <w:p w14:paraId="5E17BD51" w14:textId="77777777" w:rsidR="006662B3" w:rsidRDefault="006662B3">
                        <w:pPr>
                          <w:rPr>
                            <w:rFonts w:ascii="Times New Roman" w:eastAsia="Times New Roman" w:hAnsi="Times New Roman" w:cs="Times New Roman"/>
                            <w:sz w:val="20"/>
                            <w:szCs w:val="20"/>
                          </w:rPr>
                        </w:pPr>
                      </w:p>
                    </w:tc>
                    <w:tc>
                      <w:tcPr>
                        <w:tcW w:w="8700" w:type="dxa"/>
                        <w:vAlign w:val="center"/>
                        <w:hideMark/>
                      </w:tcPr>
                      <w:p w14:paraId="4FC6BB3E" w14:textId="77777777" w:rsidR="006662B3" w:rsidRDefault="006662B3">
                        <w:pPr>
                          <w:pStyle w:val="Heading2"/>
                          <w:rPr>
                            <w:rFonts w:eastAsia="Times New Roman"/>
                          </w:rPr>
                        </w:pPr>
                        <w:r>
                          <w:rPr>
                            <w:rFonts w:eastAsia="Times New Roman"/>
                          </w:rPr>
                          <w:t>In this update: Reporting C-19 outbreaks, service status and capacity; Pharmacy Collect updates; start of weight management campaign.</w:t>
                        </w:r>
                      </w:p>
                      <w:p w14:paraId="160A2C2B" w14:textId="77777777" w:rsidR="006662B3" w:rsidRDefault="006662B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6FCEA20">
                            <v:rect id="_x0000_i1032" style="width:468pt;height:1.5pt" o:hralign="center" o:hrstd="t" o:hr="t" fillcolor="#a0a0a0" stroked="f"/>
                          </w:pict>
                        </w:r>
                      </w:p>
                      <w:p w14:paraId="1F4D1DA7" w14:textId="77777777" w:rsidR="006662B3" w:rsidRDefault="006662B3" w:rsidP="006662B3">
                        <w:pPr>
                          <w:pStyle w:val="Heading3"/>
                          <w:spacing w:after="0"/>
                          <w:rPr>
                            <w:rFonts w:eastAsia="Times New Roman"/>
                          </w:rPr>
                        </w:pPr>
                        <w:r>
                          <w:rPr>
                            <w:rFonts w:eastAsia="Times New Roman"/>
                          </w:rPr>
                          <w:t>Reporting COVID outbreaks, service status and capacity</w:t>
                        </w:r>
                      </w:p>
                      <w:p w14:paraId="6C7753B3" w14:textId="6D05A022" w:rsidR="006662B3" w:rsidRDefault="006662B3" w:rsidP="006662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today's Primary Care Bulletin, NHS England and NHS Improvement (NHSE&amp;I) reminded primary care staff, including community pharmacy contractors, of the requirement and importance of reporting COVID-19 outbreaks and ensuring that the Directory of Services (DoS) profile is updated to make sure patients are appropriately signposted to available services.</w:t>
                        </w:r>
                        <w:r>
                          <w:rPr>
                            <w:rFonts w:ascii="Tahoma" w:eastAsia="Times New Roman" w:hAnsi="Tahoma" w:cs="Tahoma"/>
                            <w:color w:val="303030"/>
                            <w:sz w:val="21"/>
                            <w:szCs w:val="21"/>
                          </w:rPr>
                          <w:br/>
                        </w:r>
                        <w:r>
                          <w:rPr>
                            <w:rFonts w:ascii="Tahoma" w:eastAsia="Times New Roman" w:hAnsi="Tahoma" w:cs="Tahoma"/>
                            <w:color w:val="303030"/>
                            <w:sz w:val="21"/>
                            <w:szCs w:val="21"/>
                          </w:rPr>
                          <w:br/>
                          <w:t>Contractors must inform their local commissioner when the delivery of services is compromised or reduced by staff absences, whether or not attributed to a COVID-19 outbreak, in line with local reporting and escalation processes in order to support service continuity and resilience plans (for example, in accordance with the NHS Pharmaceutical Regulations).</w:t>
                        </w:r>
                        <w:r>
                          <w:rPr>
                            <w:rFonts w:ascii="Tahoma" w:eastAsia="Times New Roman" w:hAnsi="Tahoma" w:cs="Tahoma"/>
                            <w:color w:val="303030"/>
                            <w:sz w:val="21"/>
                            <w:szCs w:val="21"/>
                          </w:rPr>
                          <w:br/>
                        </w:r>
                        <w:r>
                          <w:rPr>
                            <w:rFonts w:ascii="Tahoma" w:eastAsia="Times New Roman" w:hAnsi="Tahoma" w:cs="Tahoma"/>
                            <w:color w:val="303030"/>
                            <w:sz w:val="21"/>
                            <w:szCs w:val="21"/>
                          </w:rPr>
                          <w:br/>
                          <w:t>Community pharmacies have direct access to their DoS profiles using the DoS Profile Updater. There is also a </w:t>
                        </w:r>
                        <w:hyperlink r:id="rId8" w:tgtFrame="_blank" w:history="1">
                          <w:r>
                            <w:rPr>
                              <w:rStyle w:val="Hyperlink"/>
                              <w:rFonts w:ascii="Tahoma" w:eastAsia="Times New Roman" w:hAnsi="Tahoma" w:cs="Tahoma"/>
                              <w:b/>
                              <w:bCs/>
                              <w:color w:val="4E3487"/>
                              <w:sz w:val="21"/>
                              <w:szCs w:val="21"/>
                            </w:rPr>
                            <w:t>DoS Capacity Status tool</w:t>
                          </w:r>
                        </w:hyperlink>
                        <w:r>
                          <w:rPr>
                            <w:rFonts w:ascii="Tahoma" w:eastAsia="Times New Roman" w:hAnsi="Tahoma" w:cs="Tahoma"/>
                            <w:color w:val="303030"/>
                            <w:sz w:val="21"/>
                            <w:szCs w:val="21"/>
                          </w:rPr>
                          <w:t xml:space="preserve">. Using this tool, pharmacies can mark themselves as red, amber, or green in terms of capacity. </w:t>
                        </w:r>
                      </w:p>
                      <w:p w14:paraId="38D2F788" w14:textId="77777777" w:rsidR="006662B3" w:rsidRDefault="006662B3" w:rsidP="006662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FAEA30A">
                            <v:rect id="_x0000_i1033" style="width:468pt;height:1.5pt" o:hrstd="t" o:hr="t" fillcolor="#a0a0a0" stroked="f"/>
                          </w:pict>
                        </w:r>
                      </w:p>
                      <w:p w14:paraId="106EFFD7" w14:textId="77777777" w:rsidR="006662B3" w:rsidRDefault="006662B3" w:rsidP="006662B3">
                        <w:pPr>
                          <w:pStyle w:val="Heading3"/>
                          <w:spacing w:after="0"/>
                          <w:rPr>
                            <w:rFonts w:eastAsia="Times New Roman"/>
                          </w:rPr>
                        </w:pPr>
                        <w:r>
                          <w:rPr>
                            <w:rFonts w:eastAsia="Times New Roman"/>
                          </w:rPr>
                          <w:t xml:space="preserve">Pharmacy Collect: </w:t>
                        </w:r>
                        <w:proofErr w:type="spellStart"/>
                        <w:r>
                          <w:rPr>
                            <w:rFonts w:eastAsia="Times New Roman"/>
                          </w:rPr>
                          <w:t>SureScreen</w:t>
                        </w:r>
                        <w:proofErr w:type="spellEnd"/>
                        <w:r>
                          <w:rPr>
                            <w:rFonts w:eastAsia="Times New Roman"/>
                          </w:rPr>
                          <w:t xml:space="preserve"> and MYS claiming</w:t>
                        </w:r>
                      </w:p>
                      <w:p w14:paraId="0D599002" w14:textId="0BDD19C3" w:rsidR="006662B3" w:rsidRDefault="006662B3" w:rsidP="006662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ordering Lateral Flow Device (LFD) test kits will soon start to receive a different brand of test kits (</w:t>
                        </w:r>
                        <w:proofErr w:type="spellStart"/>
                        <w:r>
                          <w:rPr>
                            <w:rFonts w:ascii="Tahoma" w:eastAsia="Times New Roman" w:hAnsi="Tahoma" w:cs="Tahoma"/>
                            <w:color w:val="303030"/>
                            <w:sz w:val="21"/>
                            <w:szCs w:val="21"/>
                          </w:rPr>
                          <w:t>SureScreen</w:t>
                        </w:r>
                        <w:proofErr w:type="spellEnd"/>
                        <w:r>
                          <w:rPr>
                            <w:rFonts w:ascii="Tahoma" w:eastAsia="Times New Roman" w:hAnsi="Tahoma" w:cs="Tahoma"/>
                            <w:color w:val="303030"/>
                            <w:sz w:val="21"/>
                            <w:szCs w:val="21"/>
                          </w:rPr>
                          <w:t>) from Alliance Healthcare.</w:t>
                        </w:r>
                        <w:r>
                          <w:rPr>
                            <w:rFonts w:ascii="Tahoma" w:eastAsia="Times New Roman" w:hAnsi="Tahoma" w:cs="Tahoma"/>
                            <w:color w:val="303030"/>
                            <w:sz w:val="21"/>
                            <w:szCs w:val="21"/>
                          </w:rPr>
                          <w:br/>
                        </w:r>
                        <w:r>
                          <w:rPr>
                            <w:rFonts w:ascii="Tahoma" w:eastAsia="Times New Roman" w:hAnsi="Tahoma" w:cs="Tahoma"/>
                            <w:color w:val="303030"/>
                            <w:sz w:val="21"/>
                            <w:szCs w:val="21"/>
                          </w:rPr>
                          <w:br/>
                          <w:t>These test kits are for shallow nasal swab only,</w:t>
                        </w:r>
                        <w:r>
                          <w:rPr>
                            <w:rStyle w:val="Strong"/>
                            <w:rFonts w:ascii="Tahoma" w:eastAsia="Times New Roman" w:hAnsi="Tahoma" w:cs="Tahoma"/>
                            <w:color w:val="303030"/>
                            <w:sz w:val="21"/>
                            <w:szCs w:val="21"/>
                          </w:rPr>
                          <w:t> </w:t>
                        </w:r>
                        <w:r>
                          <w:rPr>
                            <w:rFonts w:ascii="Tahoma" w:eastAsia="Times New Roman" w:hAnsi="Tahoma" w:cs="Tahoma"/>
                            <w:color w:val="303030"/>
                            <w:sz w:val="21"/>
                            <w:szCs w:val="21"/>
                          </w:rPr>
                          <w:t>contain sachets to decant, and contain swabs that, when processing the sample, need to be broken to leave the swab head in the tube. These tests also return a faster result.</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Given these changes, contractors should continue to advise patients to follow the instructions on how to use the tests kits contained within the box. </w:t>
                        </w:r>
                      </w:p>
                      <w:p w14:paraId="3FF65958" w14:textId="3C320669" w:rsidR="006662B3" w:rsidRDefault="006662B3" w:rsidP="006662B3">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Find out more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MYS Claiming</w:t>
                        </w:r>
                        <w:r>
                          <w:rPr>
                            <w:rFonts w:ascii="Tahoma" w:hAnsi="Tahoma" w:cs="Tahoma"/>
                            <w:color w:val="303030"/>
                            <w:sz w:val="21"/>
                            <w:szCs w:val="21"/>
                          </w:rPr>
                          <w:br/>
                          <w:t xml:space="preserve">Contractors entering lot numbers for </w:t>
                        </w:r>
                        <w:proofErr w:type="spellStart"/>
                        <w:r>
                          <w:rPr>
                            <w:rFonts w:ascii="Tahoma" w:hAnsi="Tahoma" w:cs="Tahoma"/>
                            <w:color w:val="303030"/>
                            <w:sz w:val="21"/>
                            <w:szCs w:val="21"/>
                          </w:rPr>
                          <w:t>SureScreen</w:t>
                        </w:r>
                        <w:proofErr w:type="spellEnd"/>
                        <w:r>
                          <w:rPr>
                            <w:rFonts w:ascii="Tahoma" w:hAnsi="Tahoma" w:cs="Tahoma"/>
                            <w:color w:val="303030"/>
                            <w:sz w:val="21"/>
                            <w:szCs w:val="21"/>
                          </w:rPr>
                          <w:t xml:space="preserve"> LFD test kits onto the Manage Your Service (MYS) portal are advised to omit the ‘COVN’ and ‘OM’ characters where these appear and simply input the numbers as the lot number to submit their data.</w:t>
                        </w:r>
                      </w:p>
                      <w:p w14:paraId="68CE5CC8" w14:textId="77777777" w:rsidR="006662B3" w:rsidRDefault="006662B3" w:rsidP="006662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9B1B989">
                            <v:rect id="_x0000_i1034" style="width:468pt;height:1.5pt" o:hrstd="t" o:hr="t" fillcolor="#a0a0a0" stroked="f"/>
                          </w:pict>
                        </w:r>
                      </w:p>
                      <w:p w14:paraId="4FCA605D" w14:textId="77777777" w:rsidR="006662B3" w:rsidRDefault="006662B3" w:rsidP="006662B3">
                        <w:pPr>
                          <w:pStyle w:val="Heading3"/>
                          <w:spacing w:after="0"/>
                          <w:rPr>
                            <w:rFonts w:eastAsia="Times New Roman"/>
                          </w:rPr>
                        </w:pPr>
                        <w:r>
                          <w:rPr>
                            <w:rFonts w:eastAsia="Times New Roman"/>
                          </w:rPr>
                          <w:lastRenderedPageBreak/>
                          <w:t>Weight management campaign starts soon</w:t>
                        </w:r>
                      </w:p>
                      <w:p w14:paraId="21DFA55B" w14:textId="662CC94D" w:rsidR="006662B3" w:rsidRDefault="006662B3" w:rsidP="006662B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weight management health campaign, which was originally due to start on 4th January 2022, will now begin next week when pharmacies receive the campaign materials. </w:t>
                        </w:r>
                        <w:r>
                          <w:rPr>
                            <w:rFonts w:ascii="Tahoma" w:eastAsia="Times New Roman" w:hAnsi="Tahoma" w:cs="Tahoma"/>
                            <w:color w:val="303030"/>
                            <w:sz w:val="21"/>
                            <w:szCs w:val="21"/>
                          </w:rPr>
                          <w:br/>
                        </w:r>
                        <w:r>
                          <w:rPr>
                            <w:rFonts w:ascii="Tahoma" w:eastAsia="Times New Roman" w:hAnsi="Tahoma" w:cs="Tahoma"/>
                            <w:color w:val="303030"/>
                            <w:sz w:val="21"/>
                            <w:szCs w:val="21"/>
                          </w:rPr>
                          <w:br/>
                          <w:t>This is the third mandated campaign agreed for 2021/2022 and runs for five weeks from the date on which the pharmacy receives the campaign materials. These are due to be delivered to pharmacies between the </w:t>
                        </w:r>
                        <w:r>
                          <w:rPr>
                            <w:rStyle w:val="Strong"/>
                            <w:rFonts w:ascii="Tahoma" w:eastAsia="Times New Roman" w:hAnsi="Tahoma" w:cs="Tahoma"/>
                            <w:color w:val="303030"/>
                            <w:sz w:val="21"/>
                            <w:szCs w:val="21"/>
                          </w:rPr>
                          <w:t>11th-14th January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the weight management campaign</w:t>
                          </w:r>
                        </w:hyperlink>
                      </w:p>
                    </w:tc>
                    <w:tc>
                      <w:tcPr>
                        <w:tcW w:w="150" w:type="dxa"/>
                        <w:vAlign w:val="center"/>
                        <w:hideMark/>
                      </w:tcPr>
                      <w:p w14:paraId="1BD7582C" w14:textId="77777777" w:rsidR="006662B3" w:rsidRDefault="006662B3">
                        <w:pPr>
                          <w:rPr>
                            <w:rFonts w:ascii="Tahoma" w:eastAsia="Times New Roman" w:hAnsi="Tahoma" w:cs="Tahoma"/>
                            <w:color w:val="303030"/>
                            <w:sz w:val="21"/>
                            <w:szCs w:val="21"/>
                          </w:rPr>
                        </w:pPr>
                      </w:p>
                    </w:tc>
                  </w:tr>
                  <w:tr w:rsidR="006662B3" w14:paraId="6CFDD010" w14:textId="77777777">
                    <w:trPr>
                      <w:trHeight w:val="150"/>
                      <w:tblCellSpacing w:w="15" w:type="dxa"/>
                      <w:jc w:val="center"/>
                    </w:trPr>
                    <w:tc>
                      <w:tcPr>
                        <w:tcW w:w="150" w:type="dxa"/>
                        <w:vAlign w:val="center"/>
                        <w:hideMark/>
                      </w:tcPr>
                      <w:p w14:paraId="4EF2B02B" w14:textId="77777777" w:rsidR="006662B3" w:rsidRDefault="006662B3">
                        <w:pPr>
                          <w:rPr>
                            <w:rFonts w:ascii="Times New Roman" w:eastAsia="Times New Roman" w:hAnsi="Times New Roman" w:cs="Times New Roman"/>
                            <w:sz w:val="20"/>
                            <w:szCs w:val="20"/>
                          </w:rPr>
                        </w:pPr>
                      </w:p>
                    </w:tc>
                    <w:tc>
                      <w:tcPr>
                        <w:tcW w:w="8700" w:type="dxa"/>
                        <w:vAlign w:val="center"/>
                        <w:hideMark/>
                      </w:tcPr>
                      <w:p w14:paraId="4F5D364A" w14:textId="77777777" w:rsidR="006662B3" w:rsidRDefault="006662B3">
                        <w:pPr>
                          <w:rPr>
                            <w:rFonts w:ascii="Times New Roman" w:eastAsia="Times New Roman" w:hAnsi="Times New Roman" w:cs="Times New Roman"/>
                            <w:sz w:val="20"/>
                            <w:szCs w:val="20"/>
                          </w:rPr>
                        </w:pPr>
                      </w:p>
                    </w:tc>
                    <w:tc>
                      <w:tcPr>
                        <w:tcW w:w="150" w:type="dxa"/>
                        <w:vAlign w:val="center"/>
                        <w:hideMark/>
                      </w:tcPr>
                      <w:p w14:paraId="45F89876" w14:textId="77777777" w:rsidR="006662B3" w:rsidRDefault="006662B3">
                        <w:pPr>
                          <w:rPr>
                            <w:rFonts w:ascii="Times New Roman" w:eastAsia="Times New Roman" w:hAnsi="Times New Roman" w:cs="Times New Roman"/>
                            <w:sz w:val="20"/>
                            <w:szCs w:val="20"/>
                          </w:rPr>
                        </w:pPr>
                      </w:p>
                    </w:tc>
                  </w:tr>
                </w:tbl>
                <w:p w14:paraId="6023F6EA" w14:textId="77777777" w:rsidR="006662B3" w:rsidRDefault="006662B3">
                  <w:pPr>
                    <w:jc w:val="center"/>
                    <w:rPr>
                      <w:rFonts w:ascii="Times New Roman" w:eastAsia="Times New Roman" w:hAnsi="Times New Roman" w:cs="Times New Roman"/>
                      <w:sz w:val="20"/>
                      <w:szCs w:val="20"/>
                    </w:rPr>
                  </w:pPr>
                </w:p>
              </w:tc>
            </w:tr>
          </w:tbl>
          <w:p w14:paraId="2AFD8093" w14:textId="77777777" w:rsidR="006662B3" w:rsidRDefault="006662B3">
            <w:pPr>
              <w:jc w:val="center"/>
              <w:rPr>
                <w:rFonts w:ascii="Times New Roman" w:eastAsia="Times New Roman" w:hAnsi="Times New Roman" w:cs="Times New Roman"/>
                <w:sz w:val="20"/>
                <w:szCs w:val="20"/>
              </w:rPr>
            </w:pPr>
          </w:p>
        </w:tc>
      </w:tr>
      <w:tr w:rsidR="006662B3" w14:paraId="63080F64" w14:textId="77777777" w:rsidTr="006662B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662B3" w14:paraId="62BC194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662B3" w14:paraId="7B9F731D" w14:textId="77777777">
                    <w:trPr>
                      <w:tblCellSpacing w:w="0" w:type="dxa"/>
                      <w:jc w:val="center"/>
                    </w:trPr>
                    <w:tc>
                      <w:tcPr>
                        <w:tcW w:w="3000" w:type="dxa"/>
                        <w:tcMar>
                          <w:top w:w="30" w:type="dxa"/>
                          <w:left w:w="75" w:type="dxa"/>
                          <w:bottom w:w="30" w:type="dxa"/>
                          <w:right w:w="75" w:type="dxa"/>
                        </w:tcMar>
                        <w:hideMark/>
                      </w:tcPr>
                      <w:p w14:paraId="0B022C99" w14:textId="77777777" w:rsidR="006662B3" w:rsidRDefault="006662B3">
                        <w:pPr>
                          <w:pStyle w:val="Heading4"/>
                          <w:jc w:val="center"/>
                          <w:rPr>
                            <w:rFonts w:eastAsia="Times New Roman"/>
                          </w:rPr>
                        </w:pPr>
                        <w:r>
                          <w:rPr>
                            <w:rFonts w:eastAsia="Times New Roman"/>
                          </w:rPr>
                          <w:lastRenderedPageBreak/>
                          <w:t>Pharmaceutical Services Negotiating Committee</w:t>
                        </w:r>
                      </w:p>
                      <w:p w14:paraId="6D75A0F4" w14:textId="06B62ED2" w:rsidR="006662B3" w:rsidRDefault="006662B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2277CD5" wp14:editId="43E015EE">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FECDCD5" wp14:editId="50B1EE8F">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CE0AEF8" wp14:editId="74711D58">
                              <wp:extent cx="609600" cy="304800"/>
                              <wp:effectExtent l="0" t="0" r="0" b="0"/>
                              <wp:docPr id="3" name="Picture 3" descr="Graphical user interface&#10;&#10;Description automatically generated">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7" tgtFrame="_blank"/>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A546E5" wp14:editId="5A79A808">
                              <wp:extent cx="609600" cy="304800"/>
                              <wp:effectExtent l="0" t="0" r="0" b="0"/>
                              <wp:docPr id="2" name="Picture 2"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4AC9365" w14:textId="77777777" w:rsidR="006662B3" w:rsidRDefault="006662B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662B3" w14:paraId="16232411" w14:textId="77777777" w:rsidTr="006662B3">
                    <w:trPr>
                      <w:trHeight w:val="65"/>
                      <w:tblCellSpacing w:w="0" w:type="dxa"/>
                      <w:jc w:val="center"/>
                    </w:trPr>
                    <w:tc>
                      <w:tcPr>
                        <w:tcW w:w="9000" w:type="dxa"/>
                        <w:tcMar>
                          <w:top w:w="150" w:type="dxa"/>
                          <w:left w:w="0" w:type="dxa"/>
                          <w:bottom w:w="0" w:type="dxa"/>
                          <w:right w:w="0" w:type="dxa"/>
                        </w:tcMar>
                        <w:vAlign w:val="center"/>
                        <w:hideMark/>
                      </w:tcPr>
                      <w:p w14:paraId="2F100F2E" w14:textId="7F9E3A0D" w:rsidR="006662B3" w:rsidRDefault="006662B3" w:rsidP="006662B3">
                        <w:pPr>
                          <w:rPr>
                            <w:rFonts w:ascii="Arial" w:eastAsia="Times New Roman" w:hAnsi="Arial" w:cs="Arial"/>
                            <w:color w:val="FFFFFF"/>
                            <w:sz w:val="17"/>
                            <w:szCs w:val="17"/>
                          </w:rPr>
                        </w:pPr>
                      </w:p>
                    </w:tc>
                  </w:tr>
                </w:tbl>
                <w:p w14:paraId="5D2B572C" w14:textId="77777777" w:rsidR="006662B3" w:rsidRDefault="006662B3">
                  <w:pPr>
                    <w:jc w:val="center"/>
                    <w:rPr>
                      <w:rFonts w:ascii="Times New Roman" w:eastAsia="Times New Roman" w:hAnsi="Times New Roman" w:cs="Times New Roman"/>
                      <w:sz w:val="20"/>
                      <w:szCs w:val="20"/>
                    </w:rPr>
                  </w:pPr>
                </w:p>
              </w:tc>
            </w:tr>
          </w:tbl>
          <w:p w14:paraId="6521F6DB" w14:textId="77777777" w:rsidR="006662B3" w:rsidRDefault="006662B3">
            <w:pPr>
              <w:jc w:val="center"/>
              <w:rPr>
                <w:rFonts w:ascii="Times New Roman" w:eastAsia="Times New Roman" w:hAnsi="Times New Roman" w:cs="Times New Roman"/>
                <w:sz w:val="20"/>
                <w:szCs w:val="20"/>
              </w:rPr>
            </w:pPr>
          </w:p>
        </w:tc>
      </w:tr>
    </w:tbl>
    <w:p w14:paraId="47435561" w14:textId="7FB8DF8F" w:rsidR="006662B3" w:rsidRDefault="006662B3" w:rsidP="006662B3">
      <w:pPr>
        <w:rPr>
          <w:rFonts w:eastAsia="Times New Roman"/>
        </w:rPr>
      </w:pPr>
      <w:r>
        <w:rPr>
          <w:rFonts w:eastAsia="Times New Roman"/>
          <w:noProof/>
        </w:rPr>
        <w:drawing>
          <wp:inline distT="0" distB="0" distL="0" distR="0" wp14:anchorId="799DA11F" wp14:editId="5BFC78F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E1D76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B3"/>
    <w:rsid w:val="006662B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C16A"/>
  <w15:chartTrackingRefBased/>
  <w15:docId w15:val="{59D840EC-AD7E-4AD0-A2A8-4C93B1CA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B3"/>
    <w:rPr>
      <w:rFonts w:ascii="Calibri" w:hAnsi="Calibri" w:cs="Calibri"/>
      <w:lang w:eastAsia="en-GB"/>
    </w:rPr>
  </w:style>
  <w:style w:type="paragraph" w:styleId="Heading1">
    <w:name w:val="heading 1"/>
    <w:basedOn w:val="Normal"/>
    <w:link w:val="Heading1Char"/>
    <w:uiPriority w:val="9"/>
    <w:qFormat/>
    <w:rsid w:val="006662B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662B3"/>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662B3"/>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662B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B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662B3"/>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6662B3"/>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6662B3"/>
    <w:rPr>
      <w:rFonts w:ascii="Tahoma" w:hAnsi="Tahoma" w:cs="Tahoma"/>
      <w:b/>
      <w:bCs/>
      <w:color w:val="FFFFFF"/>
      <w:sz w:val="18"/>
      <w:szCs w:val="18"/>
      <w:lang w:eastAsia="en-GB"/>
    </w:rPr>
  </w:style>
  <w:style w:type="paragraph" w:styleId="NormalWeb">
    <w:name w:val="Normal (Web)"/>
    <w:basedOn w:val="Normal"/>
    <w:uiPriority w:val="99"/>
    <w:semiHidden/>
    <w:unhideWhenUsed/>
    <w:rsid w:val="006662B3"/>
    <w:pPr>
      <w:spacing w:before="100" w:beforeAutospacing="1" w:after="100" w:afterAutospacing="1"/>
    </w:pPr>
  </w:style>
  <w:style w:type="character" w:styleId="Strong">
    <w:name w:val="Strong"/>
    <w:basedOn w:val="DefaultParagraphFont"/>
    <w:uiPriority w:val="22"/>
    <w:qFormat/>
    <w:rsid w:val="006662B3"/>
    <w:rPr>
      <w:b/>
      <w:bCs/>
    </w:rPr>
  </w:style>
  <w:style w:type="character" w:styleId="Hyperlink">
    <w:name w:val="Hyperlink"/>
    <w:basedOn w:val="DefaultParagraphFont"/>
    <w:uiPriority w:val="99"/>
    <w:semiHidden/>
    <w:unhideWhenUsed/>
    <w:rsid w:val="006662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ae7d97136&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f42be9bedb&amp;e=d19e9fd41c" TargetMode="External"/><Relationship Id="rId25" Type="http://schemas.openxmlformats.org/officeDocument/2006/relationships/image" Target="https://psnc.us7.list-manage.com/track/open.php?u=86d41ab7fa4c7c2c5d7210782&amp;id=176632c2b0&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5529119644&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fc937b701&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bc994b9a95&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fe754e140a&amp;e=d19e9fd41c" TargetMode="External"/><Relationship Id="rId14" Type="http://schemas.openxmlformats.org/officeDocument/2006/relationships/hyperlink" Target="https://psnc.us7.list-manage.com/track/click?u=86d41ab7fa4c7c2c5d7210782&amp;id=19d5f714d6&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2022-01-10T08:36:00Z</dcterms:created>
  <dcterms:modified xsi:type="dcterms:W3CDTF">2022-01-10T08:39:00Z</dcterms:modified>
</cp:coreProperties>
</file>