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1E5B35" w14:paraId="50879D3B" w14:textId="77777777" w:rsidTr="001E5B35">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1E5B35" w14:paraId="204C3618"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1E5B35" w14:paraId="3FF7A2C3" w14:textId="77777777">
                    <w:trPr>
                      <w:tblCellSpacing w:w="0" w:type="dxa"/>
                      <w:jc w:val="center"/>
                    </w:trPr>
                    <w:tc>
                      <w:tcPr>
                        <w:tcW w:w="3000" w:type="dxa"/>
                        <w:hideMark/>
                      </w:tcPr>
                      <w:p w14:paraId="6E655195" w14:textId="3287AD09" w:rsidR="001E5B35" w:rsidRDefault="001E5B35">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1A2BE065" w14:textId="77777777" w:rsidR="001E5B35" w:rsidRDefault="001E5B35">
                  <w:pPr>
                    <w:jc w:val="center"/>
                    <w:rPr>
                      <w:rFonts w:ascii="Times New Roman" w:eastAsia="Times New Roman" w:hAnsi="Times New Roman" w:cs="Times New Roman"/>
                      <w:sz w:val="20"/>
                      <w:szCs w:val="20"/>
                    </w:rPr>
                  </w:pPr>
                </w:p>
              </w:tc>
            </w:tr>
            <w:tr w:rsidR="001E5B35" w14:paraId="7E2C771E"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1E5B35" w14:paraId="2820923D"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487769BF" w14:textId="0C99FE7C" w:rsidR="001E5B35" w:rsidRDefault="001E5B35">
                        <w:pPr>
                          <w:jc w:val="center"/>
                          <w:rPr>
                            <w:rFonts w:eastAsia="Times New Roman"/>
                          </w:rPr>
                        </w:pPr>
                        <w:r>
                          <w:rPr>
                            <w:rFonts w:eastAsia="Times New Roman"/>
                            <w:noProof/>
                          </w:rPr>
                          <w:drawing>
                            <wp:inline distT="0" distB="0" distL="0" distR="0" wp14:anchorId="6FBEDB65" wp14:editId="4591FCBF">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1E5B35" w14:paraId="2C89824B" w14:textId="77777777">
                    <w:trPr>
                      <w:tblCellSpacing w:w="0" w:type="dxa"/>
                    </w:trPr>
                    <w:tc>
                      <w:tcPr>
                        <w:tcW w:w="0" w:type="auto"/>
                        <w:vMerge/>
                        <w:tcBorders>
                          <w:top w:val="nil"/>
                          <w:left w:val="nil"/>
                          <w:bottom w:val="single" w:sz="2" w:space="0" w:color="FFFFFF"/>
                          <w:right w:val="nil"/>
                        </w:tcBorders>
                        <w:vAlign w:val="center"/>
                        <w:hideMark/>
                      </w:tcPr>
                      <w:p w14:paraId="0496FD70" w14:textId="77777777" w:rsidR="001E5B35" w:rsidRDefault="001E5B35">
                        <w:pPr>
                          <w:rPr>
                            <w:rFonts w:eastAsia="Times New Roman"/>
                          </w:rPr>
                        </w:pPr>
                      </w:p>
                    </w:tc>
                    <w:tc>
                      <w:tcPr>
                        <w:tcW w:w="3450" w:type="dxa"/>
                        <w:tcBorders>
                          <w:top w:val="nil"/>
                          <w:left w:val="nil"/>
                          <w:bottom w:val="nil"/>
                          <w:right w:val="nil"/>
                        </w:tcBorders>
                        <w:vAlign w:val="center"/>
                        <w:hideMark/>
                      </w:tcPr>
                      <w:p w14:paraId="2F856BE8" w14:textId="77777777" w:rsidR="001E5B35" w:rsidRDefault="001E5B35">
                        <w:pPr>
                          <w:pStyle w:val="Heading1"/>
                          <w:rPr>
                            <w:rFonts w:eastAsia="Times New Roman"/>
                          </w:rPr>
                        </w:pPr>
                        <w:r>
                          <w:rPr>
                            <w:rFonts w:eastAsia="Times New Roman"/>
                          </w:rPr>
                          <w:t>PSNC Newsletter</w:t>
                        </w:r>
                      </w:p>
                    </w:tc>
                  </w:tr>
                  <w:tr w:rsidR="001E5B35" w14:paraId="16BB8333" w14:textId="77777777">
                    <w:trPr>
                      <w:tblCellSpacing w:w="0" w:type="dxa"/>
                    </w:trPr>
                    <w:tc>
                      <w:tcPr>
                        <w:tcW w:w="0" w:type="auto"/>
                        <w:vMerge/>
                        <w:tcBorders>
                          <w:top w:val="nil"/>
                          <w:left w:val="nil"/>
                          <w:bottom w:val="single" w:sz="2" w:space="0" w:color="FFFFFF"/>
                          <w:right w:val="nil"/>
                        </w:tcBorders>
                        <w:vAlign w:val="center"/>
                        <w:hideMark/>
                      </w:tcPr>
                      <w:p w14:paraId="32583703" w14:textId="77777777" w:rsidR="001E5B35" w:rsidRDefault="001E5B35">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7D4337AA" w14:textId="77777777" w:rsidR="001E5B35" w:rsidRDefault="001E5B35">
                        <w:pPr>
                          <w:pStyle w:val="Heading2"/>
                          <w:rPr>
                            <w:rFonts w:eastAsia="Times New Roman"/>
                            <w:color w:val="93378A"/>
                          </w:rPr>
                        </w:pPr>
                        <w:r>
                          <w:rPr>
                            <w:rFonts w:eastAsia="Times New Roman"/>
                            <w:color w:val="93378A"/>
                          </w:rPr>
                          <w:t>Thursday 30th December 2021</w:t>
                        </w:r>
                      </w:p>
                    </w:tc>
                  </w:tr>
                </w:tbl>
                <w:p w14:paraId="32A4FA8B" w14:textId="77777777" w:rsidR="001E5B35" w:rsidRDefault="001E5B35">
                  <w:pPr>
                    <w:rPr>
                      <w:rFonts w:ascii="Times New Roman" w:eastAsia="Times New Roman" w:hAnsi="Times New Roman" w:cs="Times New Roman"/>
                      <w:sz w:val="20"/>
                      <w:szCs w:val="20"/>
                    </w:rPr>
                  </w:pPr>
                </w:p>
              </w:tc>
            </w:tr>
            <w:tr w:rsidR="001E5B35" w14:paraId="33D9EDEC" w14:textId="77777777">
              <w:tblPrEx>
                <w:shd w:val="clear" w:color="auto" w:fill="auto"/>
              </w:tblPrEx>
              <w:trPr>
                <w:tblCellSpacing w:w="0" w:type="dxa"/>
                <w:jc w:val="center"/>
              </w:trPr>
              <w:tc>
                <w:tcPr>
                  <w:tcW w:w="9000" w:type="dxa"/>
                  <w:hideMark/>
                </w:tcPr>
                <w:p w14:paraId="0AE2A4D3" w14:textId="1233B835" w:rsidR="001E5B35" w:rsidRDefault="001E5B35">
                  <w:pPr>
                    <w:rPr>
                      <w:rFonts w:eastAsia="Times New Roman"/>
                    </w:rPr>
                  </w:pPr>
                  <w:r>
                    <w:rPr>
                      <w:rFonts w:eastAsia="Times New Roman"/>
                      <w:noProof/>
                    </w:rPr>
                    <w:drawing>
                      <wp:inline distT="0" distB="0" distL="0" distR="0" wp14:anchorId="07F3A23D" wp14:editId="66923623">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1E5B35" w14:paraId="6090B1BE"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1E5B35" w14:paraId="3EC7F504" w14:textId="77777777">
                    <w:trPr>
                      <w:trHeight w:val="150"/>
                      <w:tblCellSpacing w:w="15" w:type="dxa"/>
                      <w:jc w:val="center"/>
                    </w:trPr>
                    <w:tc>
                      <w:tcPr>
                        <w:tcW w:w="150" w:type="dxa"/>
                        <w:vAlign w:val="center"/>
                        <w:hideMark/>
                      </w:tcPr>
                      <w:p w14:paraId="4A894436" w14:textId="77777777" w:rsidR="001E5B35" w:rsidRDefault="001E5B35">
                        <w:pPr>
                          <w:rPr>
                            <w:rFonts w:eastAsia="Times New Roman"/>
                          </w:rPr>
                        </w:pPr>
                      </w:p>
                    </w:tc>
                    <w:tc>
                      <w:tcPr>
                        <w:tcW w:w="8700" w:type="dxa"/>
                        <w:vAlign w:val="center"/>
                        <w:hideMark/>
                      </w:tcPr>
                      <w:p w14:paraId="0F0A9E6B" w14:textId="77777777" w:rsidR="001E5B35" w:rsidRDefault="001E5B35">
                        <w:pPr>
                          <w:rPr>
                            <w:rFonts w:ascii="Times New Roman" w:eastAsia="Times New Roman" w:hAnsi="Times New Roman" w:cs="Times New Roman"/>
                            <w:sz w:val="20"/>
                            <w:szCs w:val="20"/>
                          </w:rPr>
                        </w:pPr>
                      </w:p>
                    </w:tc>
                    <w:tc>
                      <w:tcPr>
                        <w:tcW w:w="150" w:type="dxa"/>
                        <w:vAlign w:val="center"/>
                        <w:hideMark/>
                      </w:tcPr>
                      <w:p w14:paraId="256C1756" w14:textId="77777777" w:rsidR="001E5B35" w:rsidRDefault="001E5B35">
                        <w:pPr>
                          <w:rPr>
                            <w:rFonts w:ascii="Times New Roman" w:eastAsia="Times New Roman" w:hAnsi="Times New Roman" w:cs="Times New Roman"/>
                            <w:sz w:val="20"/>
                            <w:szCs w:val="20"/>
                          </w:rPr>
                        </w:pPr>
                      </w:p>
                    </w:tc>
                  </w:tr>
                  <w:tr w:rsidR="001E5B35" w14:paraId="407508C4" w14:textId="77777777">
                    <w:trPr>
                      <w:tblCellSpacing w:w="15" w:type="dxa"/>
                      <w:jc w:val="center"/>
                    </w:trPr>
                    <w:tc>
                      <w:tcPr>
                        <w:tcW w:w="150" w:type="dxa"/>
                        <w:vAlign w:val="center"/>
                        <w:hideMark/>
                      </w:tcPr>
                      <w:p w14:paraId="180F6BD4" w14:textId="77777777" w:rsidR="001E5B35" w:rsidRDefault="001E5B35">
                        <w:pPr>
                          <w:rPr>
                            <w:rFonts w:ascii="Times New Roman" w:eastAsia="Times New Roman" w:hAnsi="Times New Roman" w:cs="Times New Roman"/>
                            <w:sz w:val="20"/>
                            <w:szCs w:val="20"/>
                          </w:rPr>
                        </w:pPr>
                      </w:p>
                    </w:tc>
                    <w:tc>
                      <w:tcPr>
                        <w:tcW w:w="8700" w:type="dxa"/>
                        <w:vAlign w:val="center"/>
                        <w:hideMark/>
                      </w:tcPr>
                      <w:p w14:paraId="22A86189" w14:textId="77777777" w:rsidR="001E5B35" w:rsidRDefault="001E5B35">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This newsletter from PSNC contains important information for those that work in the community pharmacy sector.</w:t>
                        </w:r>
                      </w:p>
                      <w:p w14:paraId="30B27D1E" w14:textId="77777777" w:rsidR="001E5B35" w:rsidRDefault="001E5B35">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28A3AB0B">
                            <v:rect id="_x0000_i1032" style="width:468pt;height:1.5pt" o:hralign="center" o:hrstd="t" o:hr="t" fillcolor="#a0a0a0" stroked="f"/>
                          </w:pict>
                        </w:r>
                      </w:p>
                      <w:p w14:paraId="4A76B227" w14:textId="77777777" w:rsidR="001E5B35" w:rsidRDefault="001E5B35">
                        <w:pPr>
                          <w:pStyle w:val="Heading2"/>
                          <w:rPr>
                            <w:rFonts w:eastAsia="Times New Roman"/>
                          </w:rPr>
                        </w:pPr>
                        <w:r>
                          <w:rPr>
                            <w:rFonts w:eastAsia="Times New Roman"/>
                          </w:rPr>
                          <w:t xml:space="preserve">In this update: LFD stock update; December FP34C submission deadline and medical exemption certificate extension; </w:t>
                        </w:r>
                        <w:proofErr w:type="spellStart"/>
                        <w:r>
                          <w:rPr>
                            <w:rFonts w:eastAsia="Times New Roman"/>
                          </w:rPr>
                          <w:t>PhAS</w:t>
                        </w:r>
                        <w:proofErr w:type="spellEnd"/>
                        <w:r>
                          <w:rPr>
                            <w:rFonts w:eastAsia="Times New Roman"/>
                          </w:rPr>
                          <w:t xml:space="preserve"> 2022 review process.</w:t>
                        </w:r>
                      </w:p>
                      <w:p w14:paraId="469D5C3B" w14:textId="77777777" w:rsidR="001E5B35" w:rsidRDefault="001E5B35">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29E59745">
                            <v:rect id="_x0000_i1033" style="width:468pt;height:1.5pt" o:hralign="center" o:hrstd="t" o:hr="t" fillcolor="#a0a0a0" stroked="f"/>
                          </w:pict>
                        </w:r>
                      </w:p>
                      <w:p w14:paraId="1DE82A03" w14:textId="77777777" w:rsidR="001E5B35" w:rsidRDefault="001E5B35">
                        <w:pPr>
                          <w:pStyle w:val="Heading3"/>
                          <w:rPr>
                            <w:rFonts w:eastAsia="Times New Roman"/>
                          </w:rPr>
                        </w:pPr>
                        <w:r>
                          <w:rPr>
                            <w:rFonts w:eastAsia="Times New Roman"/>
                          </w:rPr>
                          <w:t>Pharmacy Collect: UKHSA update on LFD stock</w:t>
                        </w:r>
                      </w:p>
                      <w:p w14:paraId="6EA0821D" w14:textId="77777777" w:rsidR="001E5B35" w:rsidRDefault="001E5B35" w:rsidP="001E5B35">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unprecedented public demand for Lateral Flow Device (LFD) test kits via the Pharmacy Collect service continues.</w:t>
                        </w:r>
                        <w:r>
                          <w:rPr>
                            <w:rFonts w:ascii="Tahoma" w:hAnsi="Tahoma" w:cs="Tahoma"/>
                            <w:color w:val="303030"/>
                            <w:sz w:val="21"/>
                            <w:szCs w:val="21"/>
                          </w:rPr>
                          <w:br/>
                        </w:r>
                        <w:r>
                          <w:rPr>
                            <w:rFonts w:ascii="Tahoma" w:hAnsi="Tahoma" w:cs="Tahoma"/>
                            <w:color w:val="303030"/>
                            <w:sz w:val="21"/>
                            <w:szCs w:val="21"/>
                          </w:rPr>
                          <w:br/>
                          <w:t>The UK Health Security Agency (UKHSA) are continuing to deliver stock to Alliance Healthcare for onward delivery to pharmacies. PSNC has been in regular contact with the UKHSA about the supply issues in recent days and we have the following update for pharmacy teams.</w:t>
                        </w:r>
                      </w:p>
                      <w:p w14:paraId="1EAC8840" w14:textId="77777777" w:rsidR="001E5B35" w:rsidRDefault="001E5B35" w:rsidP="001E5B35">
                        <w:pPr>
                          <w:numPr>
                            <w:ilvl w:val="0"/>
                            <w:numId w:val="1"/>
                          </w:num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On 24th December, 2.5 million tests were sent to Alliance Healthcare and that stock was ready to be delivered yesterday (29th December) when Alliance Healthcare re-opened after its planned Christmas break.</w:t>
                        </w:r>
                      </w:p>
                      <w:p w14:paraId="5BF3C083" w14:textId="77777777" w:rsidR="001E5B35" w:rsidRDefault="001E5B35" w:rsidP="001E5B35">
                        <w:pPr>
                          <w:numPr>
                            <w:ilvl w:val="0"/>
                            <w:numId w:val="1"/>
                          </w:num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Yesterday, a further 2.3m Orient Gene tests were sent to replenish the Alliance Healthcare distribution centres.</w:t>
                        </w:r>
                      </w:p>
                      <w:p w14:paraId="312D4373" w14:textId="77777777" w:rsidR="001E5B35" w:rsidRDefault="001E5B35" w:rsidP="001E5B35">
                        <w:pPr>
                          <w:numPr>
                            <w:ilvl w:val="0"/>
                            <w:numId w:val="1"/>
                          </w:num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Today (30th December), around 1.97m tests (</w:t>
                        </w:r>
                        <w:proofErr w:type="spellStart"/>
                        <w:r>
                          <w:rPr>
                            <w:rFonts w:ascii="Tahoma" w:eastAsia="Times New Roman" w:hAnsi="Tahoma" w:cs="Tahoma"/>
                            <w:color w:val="303030"/>
                            <w:sz w:val="21"/>
                            <w:szCs w:val="21"/>
                          </w:rPr>
                          <w:t>Acon</w:t>
                        </w:r>
                        <w:proofErr w:type="spellEnd"/>
                        <w:r>
                          <w:rPr>
                            <w:rFonts w:ascii="Tahoma" w:eastAsia="Times New Roman" w:hAnsi="Tahoma" w:cs="Tahoma"/>
                            <w:color w:val="303030"/>
                            <w:sz w:val="21"/>
                            <w:szCs w:val="21"/>
                          </w:rPr>
                          <w:t xml:space="preserve"> </w:t>
                        </w:r>
                        <w:proofErr w:type="spellStart"/>
                        <w:r>
                          <w:rPr>
                            <w:rFonts w:ascii="Tahoma" w:eastAsia="Times New Roman" w:hAnsi="Tahoma" w:cs="Tahoma"/>
                            <w:color w:val="303030"/>
                            <w:sz w:val="21"/>
                            <w:szCs w:val="21"/>
                          </w:rPr>
                          <w:t>Flowflex</w:t>
                        </w:r>
                        <w:proofErr w:type="spellEnd"/>
                        <w:r>
                          <w:rPr>
                            <w:rFonts w:ascii="Tahoma" w:eastAsia="Times New Roman" w:hAnsi="Tahoma" w:cs="Tahoma"/>
                            <w:color w:val="303030"/>
                            <w:sz w:val="21"/>
                            <w:szCs w:val="21"/>
                          </w:rPr>
                          <w:t xml:space="preserve"> and Orient Gene brands) have been sent to Alliance Healthcare.</w:t>
                        </w:r>
                      </w:p>
                      <w:p w14:paraId="30814ECC" w14:textId="77777777" w:rsidR="001E5B35" w:rsidRDefault="001E5B35" w:rsidP="001E5B35">
                        <w:pPr>
                          <w:numPr>
                            <w:ilvl w:val="0"/>
                            <w:numId w:val="1"/>
                          </w:num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A similar number of tests is also planned to be delivered to Alliance Healthcare tomorrow (31st December).</w:t>
                        </w:r>
                      </w:p>
                      <w:p w14:paraId="3236F1FA" w14:textId="77777777" w:rsidR="001E5B35" w:rsidRDefault="001E5B35" w:rsidP="001E5B35">
                        <w:pPr>
                          <w:pStyle w:val="NormalWeb"/>
                          <w:spacing w:before="0" w:beforeAutospacing="0" w:after="0" w:afterAutospacing="0" w:line="264" w:lineRule="auto"/>
                          <w:rPr>
                            <w:rFonts w:ascii="Tahoma" w:hAnsi="Tahoma" w:cs="Tahoma"/>
                            <w:color w:val="303030"/>
                            <w:sz w:val="21"/>
                            <w:szCs w:val="21"/>
                          </w:rPr>
                        </w:pPr>
                      </w:p>
                      <w:p w14:paraId="6BB8AE8A" w14:textId="3C5F61C7" w:rsidR="001E5B35" w:rsidRDefault="001E5B35" w:rsidP="001E5B35">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Contractors are advised to check availability of each of the available products and order whichever is in stock at the time. There may also be periods when the products appear out of stock, before more replenishment stock is received from the UKHSA; in that circumstance contractors should check back later in the day to see if more stock has become available to order.</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Read the full story, including a comment from PSNC</w:t>
                          </w:r>
                        </w:hyperlink>
                      </w:p>
                      <w:p w14:paraId="270CDA72" w14:textId="77777777" w:rsidR="001E5B35" w:rsidRDefault="001E5B35">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67E8F679">
                            <v:rect id="_x0000_i1034" style="width:468pt;height:1.5pt" o:hralign="center" o:hrstd="t" o:hr="t" fillcolor="#a0a0a0" stroked="f"/>
                          </w:pict>
                        </w:r>
                      </w:p>
                      <w:p w14:paraId="33251A10" w14:textId="77777777" w:rsidR="001E5B35" w:rsidRDefault="001E5B35">
                        <w:pPr>
                          <w:pStyle w:val="Heading3"/>
                          <w:rPr>
                            <w:rFonts w:eastAsia="Times New Roman"/>
                          </w:rPr>
                        </w:pPr>
                        <w:r>
                          <w:rPr>
                            <w:rFonts w:eastAsia="Times New Roman"/>
                          </w:rPr>
                          <w:t>Prescription and Reimbursement Notices</w:t>
                        </w:r>
                      </w:p>
                      <w:p w14:paraId="316598B4" w14:textId="77777777" w:rsidR="001E5B35" w:rsidRDefault="001E5B35" w:rsidP="001E5B35">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December FP34C and bundle submission due by 6th January</w:t>
                        </w:r>
                        <w:r>
                          <w:rPr>
                            <w:rFonts w:ascii="Tahoma" w:hAnsi="Tahoma" w:cs="Tahoma"/>
                            <w:color w:val="303030"/>
                            <w:sz w:val="21"/>
                            <w:szCs w:val="21"/>
                          </w:rPr>
                          <w:br/>
                          <w:t xml:space="preserve">As the New Year's Day Bank Holiday (Monday 3rd January 2022) occurs in the FP34C submission window, community pharmacy contractors have been given an extra working day to submit their December FP34Cs and dispatch their prescription bundle to the relevant </w:t>
                        </w:r>
                        <w:r>
                          <w:rPr>
                            <w:rFonts w:ascii="Tahoma" w:hAnsi="Tahoma" w:cs="Tahoma"/>
                            <w:color w:val="303030"/>
                            <w:sz w:val="21"/>
                            <w:szCs w:val="21"/>
                          </w:rPr>
                          <w:lastRenderedPageBreak/>
                          <w:t>pricing division at the NHS Business Services Authority (NHSBSA).</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Find out more about the December submission timetable</w:t>
                          </w:r>
                        </w:hyperlink>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Extension for medical exemption certificates due to expire</w:t>
                        </w:r>
                        <w:r>
                          <w:rPr>
                            <w:rFonts w:ascii="Tahoma" w:hAnsi="Tahoma" w:cs="Tahoma"/>
                            <w:color w:val="303030"/>
                            <w:sz w:val="21"/>
                            <w:szCs w:val="21"/>
                          </w:rPr>
                          <w:br/>
                          <w:t>The Department of Health and Social Care (DHSC) has agreed that all medical exemption certificates due to expire between 14th December 2021 and 1st March 2022 will be extended for a further six months from the current date of expiry. New certificates will be issued, but until these arrive, patients are advised to present their letter from the NHSBSA as evidence of exemption.</w:t>
                        </w:r>
                        <w:r>
                          <w:rPr>
                            <w:rFonts w:ascii="Tahoma" w:hAnsi="Tahoma" w:cs="Tahoma"/>
                            <w:color w:val="303030"/>
                            <w:sz w:val="21"/>
                            <w:szCs w:val="21"/>
                          </w:rPr>
                          <w:br/>
                        </w:r>
                        <w:r>
                          <w:rPr>
                            <w:rFonts w:ascii="Tahoma" w:hAnsi="Tahoma" w:cs="Tahoma"/>
                            <w:color w:val="303030"/>
                            <w:sz w:val="21"/>
                            <w:szCs w:val="21"/>
                          </w:rPr>
                          <w:br/>
                        </w:r>
                        <w:hyperlink r:id="rId11" w:tgtFrame="_blank" w:history="1">
                          <w:r>
                            <w:rPr>
                              <w:rStyle w:val="Hyperlink"/>
                              <w:rFonts w:ascii="Tahoma" w:hAnsi="Tahoma" w:cs="Tahoma"/>
                              <w:b/>
                              <w:bCs/>
                              <w:color w:val="4E3487"/>
                              <w:sz w:val="21"/>
                              <w:szCs w:val="21"/>
                            </w:rPr>
                            <w:t>Read more about the exemption certificate extension</w:t>
                          </w:r>
                        </w:hyperlink>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Drug Tariff Watch – January 2022</w:t>
                        </w:r>
                        <w:r>
                          <w:rPr>
                            <w:rFonts w:ascii="Tahoma" w:hAnsi="Tahoma" w:cs="Tahoma"/>
                            <w:color w:val="303030"/>
                            <w:sz w:val="21"/>
                            <w:szCs w:val="21"/>
                          </w:rPr>
                          <w:br/>
                          <w:t>PSNC's Dispensing and Supply Team has created a summary of the Drug Tariff changes for January 2022. This includes details of additions, deletions and category and price changes.</w:t>
                        </w:r>
                        <w:r>
                          <w:rPr>
                            <w:rFonts w:ascii="Tahoma" w:hAnsi="Tahoma" w:cs="Tahoma"/>
                            <w:color w:val="303030"/>
                            <w:sz w:val="21"/>
                            <w:szCs w:val="21"/>
                          </w:rPr>
                          <w:br/>
                        </w:r>
                        <w:r>
                          <w:rPr>
                            <w:rFonts w:ascii="Tahoma" w:hAnsi="Tahoma" w:cs="Tahoma"/>
                            <w:color w:val="303030"/>
                            <w:sz w:val="21"/>
                            <w:szCs w:val="21"/>
                          </w:rPr>
                          <w:br/>
                        </w:r>
                        <w:hyperlink r:id="rId12" w:tgtFrame="_blank" w:history="1">
                          <w:r>
                            <w:rPr>
                              <w:rStyle w:val="Hyperlink"/>
                              <w:rFonts w:ascii="Tahoma" w:hAnsi="Tahoma" w:cs="Tahoma"/>
                              <w:b/>
                              <w:bCs/>
                              <w:color w:val="4E3487"/>
                              <w:sz w:val="21"/>
                              <w:szCs w:val="21"/>
                            </w:rPr>
                            <w:t>See the January 2022 Drug Tariff Watch</w:t>
                          </w:r>
                        </w:hyperlink>
                      </w:p>
                      <w:p w14:paraId="219FF068" w14:textId="77777777" w:rsidR="001E5B35" w:rsidRDefault="001E5B35">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6F4479F0">
                            <v:rect id="_x0000_i1035" style="width:468pt;height:1.5pt" o:hralign="center" o:hrstd="t" o:hr="t" fillcolor="#a0a0a0" stroked="f"/>
                          </w:pict>
                        </w:r>
                      </w:p>
                      <w:p w14:paraId="0FD69668" w14:textId="77777777" w:rsidR="001E5B35" w:rsidRDefault="001E5B35">
                        <w:pPr>
                          <w:pStyle w:val="Heading3"/>
                          <w:rPr>
                            <w:rFonts w:eastAsia="Times New Roman"/>
                          </w:rPr>
                        </w:pPr>
                        <w:proofErr w:type="spellStart"/>
                        <w:r>
                          <w:rPr>
                            <w:rFonts w:eastAsia="Times New Roman"/>
                          </w:rPr>
                          <w:t>PhAS</w:t>
                        </w:r>
                        <w:proofErr w:type="spellEnd"/>
                        <w:r>
                          <w:rPr>
                            <w:rFonts w:eastAsia="Times New Roman"/>
                          </w:rPr>
                          <w:t xml:space="preserve"> 2022 review application window opening soon</w:t>
                        </w:r>
                      </w:p>
                      <w:p w14:paraId="3654D857" w14:textId="77777777" w:rsidR="001E5B35" w:rsidRDefault="001E5B35" w:rsidP="001E5B35">
                        <w:pPr>
                          <w:pStyle w:val="NormalWeb"/>
                          <w:spacing w:before="0" w:beforeAutospacing="0" w:after="0" w:afterAutospacing="0" w:line="264" w:lineRule="auto"/>
                          <w:rPr>
                            <w:rFonts w:ascii="Tahoma" w:hAnsi="Tahoma" w:cs="Tahoma"/>
                            <w:color w:val="303030"/>
                            <w:sz w:val="21"/>
                            <w:szCs w:val="21"/>
                          </w:rPr>
                        </w:pPr>
                        <w:hyperlink r:id="rId13" w:tgtFrame="_blank" w:history="1">
                          <w:r>
                            <w:rPr>
                              <w:rStyle w:val="Hyperlink"/>
                              <w:rFonts w:ascii="Tahoma" w:hAnsi="Tahoma" w:cs="Tahoma"/>
                              <w:b/>
                              <w:bCs/>
                              <w:color w:val="4E3487"/>
                              <w:sz w:val="21"/>
                              <w:szCs w:val="21"/>
                            </w:rPr>
                            <w:t>The details</w:t>
                          </w:r>
                        </w:hyperlink>
                        <w:r>
                          <w:rPr>
                            <w:rFonts w:ascii="Tahoma" w:hAnsi="Tahoma" w:cs="Tahoma"/>
                            <w:color w:val="303030"/>
                            <w:sz w:val="21"/>
                            <w:szCs w:val="21"/>
                          </w:rPr>
                          <w:t xml:space="preserve"> about the revised Pharmacy Access Scheme (</w:t>
                        </w:r>
                        <w:proofErr w:type="spellStart"/>
                        <w:r>
                          <w:rPr>
                            <w:rFonts w:ascii="Tahoma" w:hAnsi="Tahoma" w:cs="Tahoma"/>
                            <w:color w:val="303030"/>
                            <w:sz w:val="21"/>
                            <w:szCs w:val="21"/>
                          </w:rPr>
                          <w:t>PhAS</w:t>
                        </w:r>
                        <w:proofErr w:type="spellEnd"/>
                        <w:r>
                          <w:rPr>
                            <w:rFonts w:ascii="Tahoma" w:hAnsi="Tahoma" w:cs="Tahoma"/>
                            <w:color w:val="303030"/>
                            <w:sz w:val="21"/>
                            <w:szCs w:val="21"/>
                          </w:rPr>
                          <w:t>) for 2022 were published earlier this year, with contractors receiving letters from the NHSBSA indicating their eligibility.</w:t>
                        </w:r>
                        <w:r>
                          <w:rPr>
                            <w:rFonts w:ascii="Tahoma" w:hAnsi="Tahoma" w:cs="Tahoma"/>
                            <w:color w:val="303030"/>
                            <w:sz w:val="21"/>
                            <w:szCs w:val="21"/>
                          </w:rPr>
                          <w:br/>
                        </w:r>
                        <w:r>
                          <w:rPr>
                            <w:rFonts w:ascii="Tahoma" w:hAnsi="Tahoma" w:cs="Tahoma"/>
                            <w:color w:val="303030"/>
                            <w:sz w:val="21"/>
                            <w:szCs w:val="21"/>
                          </w:rPr>
                          <w:br/>
                          <w:t xml:space="preserve">At the start of </w:t>
                        </w:r>
                        <w:proofErr w:type="spellStart"/>
                        <w:r>
                          <w:rPr>
                            <w:rFonts w:ascii="Tahoma" w:hAnsi="Tahoma" w:cs="Tahoma"/>
                            <w:color w:val="303030"/>
                            <w:sz w:val="21"/>
                            <w:szCs w:val="21"/>
                          </w:rPr>
                          <w:t>PhAS</w:t>
                        </w:r>
                        <w:proofErr w:type="spellEnd"/>
                        <w:r>
                          <w:rPr>
                            <w:rFonts w:ascii="Tahoma" w:hAnsi="Tahoma" w:cs="Tahoma"/>
                            <w:color w:val="303030"/>
                            <w:sz w:val="21"/>
                            <w:szCs w:val="21"/>
                          </w:rPr>
                          <w:t xml:space="preserve"> 2022, a review process allows NHS England and NHS Improvement (NHSE&amp;I) to consider extenuating circumstances which may mean that patient access is not being protected in the way intended by the scheme. The review is based on contractor applications made between January 4th 2022 and midnight on 4th February 2022.</w:t>
                        </w:r>
                        <w:r>
                          <w:rPr>
                            <w:rFonts w:ascii="Tahoma" w:hAnsi="Tahoma" w:cs="Tahoma"/>
                            <w:color w:val="303030"/>
                            <w:sz w:val="21"/>
                            <w:szCs w:val="21"/>
                          </w:rPr>
                          <w:br/>
                        </w:r>
                        <w:r>
                          <w:rPr>
                            <w:rFonts w:ascii="Tahoma" w:hAnsi="Tahoma" w:cs="Tahoma"/>
                            <w:color w:val="303030"/>
                            <w:sz w:val="21"/>
                            <w:szCs w:val="21"/>
                          </w:rPr>
                          <w:br/>
                        </w:r>
                        <w:hyperlink r:id="rId14" w:tgtFrame="_blank" w:history="1">
                          <w:r>
                            <w:rPr>
                              <w:rStyle w:val="Hyperlink"/>
                              <w:rFonts w:ascii="Tahoma" w:hAnsi="Tahoma" w:cs="Tahoma"/>
                              <w:b/>
                              <w:bCs/>
                              <w:color w:val="4E3487"/>
                              <w:sz w:val="21"/>
                              <w:szCs w:val="21"/>
                            </w:rPr>
                            <w:t xml:space="preserve">Learn more about the </w:t>
                          </w:r>
                          <w:proofErr w:type="spellStart"/>
                          <w:r>
                            <w:rPr>
                              <w:rStyle w:val="Hyperlink"/>
                              <w:rFonts w:ascii="Tahoma" w:hAnsi="Tahoma" w:cs="Tahoma"/>
                              <w:b/>
                              <w:bCs/>
                              <w:color w:val="4E3487"/>
                              <w:sz w:val="21"/>
                              <w:szCs w:val="21"/>
                            </w:rPr>
                            <w:t>PhAS</w:t>
                          </w:r>
                          <w:proofErr w:type="spellEnd"/>
                          <w:r>
                            <w:rPr>
                              <w:rStyle w:val="Hyperlink"/>
                              <w:rFonts w:ascii="Tahoma" w:hAnsi="Tahoma" w:cs="Tahoma"/>
                              <w:b/>
                              <w:bCs/>
                              <w:color w:val="4E3487"/>
                              <w:sz w:val="21"/>
                              <w:szCs w:val="21"/>
                            </w:rPr>
                            <w:t xml:space="preserve"> 2022 review process</w:t>
                          </w:r>
                        </w:hyperlink>
                      </w:p>
                    </w:tc>
                    <w:tc>
                      <w:tcPr>
                        <w:tcW w:w="150" w:type="dxa"/>
                        <w:vAlign w:val="center"/>
                        <w:hideMark/>
                      </w:tcPr>
                      <w:p w14:paraId="6FFC6329" w14:textId="77777777" w:rsidR="001E5B35" w:rsidRDefault="001E5B35">
                        <w:pPr>
                          <w:rPr>
                            <w:rFonts w:ascii="Tahoma" w:hAnsi="Tahoma" w:cs="Tahoma"/>
                            <w:color w:val="303030"/>
                            <w:sz w:val="21"/>
                            <w:szCs w:val="21"/>
                          </w:rPr>
                        </w:pPr>
                      </w:p>
                    </w:tc>
                  </w:tr>
                  <w:tr w:rsidR="001E5B35" w14:paraId="1B11911D" w14:textId="77777777">
                    <w:trPr>
                      <w:trHeight w:val="150"/>
                      <w:tblCellSpacing w:w="15" w:type="dxa"/>
                      <w:jc w:val="center"/>
                    </w:trPr>
                    <w:tc>
                      <w:tcPr>
                        <w:tcW w:w="150" w:type="dxa"/>
                        <w:vAlign w:val="center"/>
                        <w:hideMark/>
                      </w:tcPr>
                      <w:p w14:paraId="64DE1E31" w14:textId="77777777" w:rsidR="001E5B35" w:rsidRDefault="001E5B35">
                        <w:pPr>
                          <w:rPr>
                            <w:rFonts w:ascii="Times New Roman" w:eastAsia="Times New Roman" w:hAnsi="Times New Roman" w:cs="Times New Roman"/>
                            <w:sz w:val="20"/>
                            <w:szCs w:val="20"/>
                          </w:rPr>
                        </w:pPr>
                      </w:p>
                    </w:tc>
                    <w:tc>
                      <w:tcPr>
                        <w:tcW w:w="8700" w:type="dxa"/>
                        <w:vAlign w:val="center"/>
                        <w:hideMark/>
                      </w:tcPr>
                      <w:p w14:paraId="38393995" w14:textId="77777777" w:rsidR="001E5B35" w:rsidRDefault="001E5B35">
                        <w:pPr>
                          <w:rPr>
                            <w:rFonts w:ascii="Times New Roman" w:eastAsia="Times New Roman" w:hAnsi="Times New Roman" w:cs="Times New Roman"/>
                            <w:sz w:val="20"/>
                            <w:szCs w:val="20"/>
                          </w:rPr>
                        </w:pPr>
                      </w:p>
                    </w:tc>
                    <w:tc>
                      <w:tcPr>
                        <w:tcW w:w="150" w:type="dxa"/>
                        <w:vAlign w:val="center"/>
                        <w:hideMark/>
                      </w:tcPr>
                      <w:p w14:paraId="0662E5AB" w14:textId="77777777" w:rsidR="001E5B35" w:rsidRDefault="001E5B35">
                        <w:pPr>
                          <w:rPr>
                            <w:rFonts w:ascii="Times New Roman" w:eastAsia="Times New Roman" w:hAnsi="Times New Roman" w:cs="Times New Roman"/>
                            <w:sz w:val="20"/>
                            <w:szCs w:val="20"/>
                          </w:rPr>
                        </w:pPr>
                      </w:p>
                    </w:tc>
                  </w:tr>
                </w:tbl>
                <w:p w14:paraId="0BF8BDA9" w14:textId="77777777" w:rsidR="001E5B35" w:rsidRDefault="001E5B35">
                  <w:pPr>
                    <w:jc w:val="center"/>
                    <w:rPr>
                      <w:rFonts w:ascii="Times New Roman" w:eastAsia="Times New Roman" w:hAnsi="Times New Roman" w:cs="Times New Roman"/>
                      <w:sz w:val="20"/>
                      <w:szCs w:val="20"/>
                    </w:rPr>
                  </w:pPr>
                </w:p>
              </w:tc>
            </w:tr>
          </w:tbl>
          <w:p w14:paraId="29FFAC74" w14:textId="77777777" w:rsidR="001E5B35" w:rsidRDefault="001E5B35">
            <w:pPr>
              <w:jc w:val="center"/>
              <w:rPr>
                <w:rFonts w:ascii="Times New Roman" w:eastAsia="Times New Roman" w:hAnsi="Times New Roman" w:cs="Times New Roman"/>
                <w:sz w:val="20"/>
                <w:szCs w:val="20"/>
              </w:rPr>
            </w:pPr>
          </w:p>
        </w:tc>
      </w:tr>
      <w:tr w:rsidR="001E5B35" w14:paraId="375DE2AB" w14:textId="77777777" w:rsidTr="001E5B35">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1E5B35" w14:paraId="7857CB74"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E5B35" w14:paraId="40BB28E2" w14:textId="77777777">
                    <w:trPr>
                      <w:tblCellSpacing w:w="0" w:type="dxa"/>
                      <w:jc w:val="center"/>
                    </w:trPr>
                    <w:tc>
                      <w:tcPr>
                        <w:tcW w:w="3000" w:type="dxa"/>
                        <w:tcMar>
                          <w:top w:w="30" w:type="dxa"/>
                          <w:left w:w="75" w:type="dxa"/>
                          <w:bottom w:w="30" w:type="dxa"/>
                          <w:right w:w="75" w:type="dxa"/>
                        </w:tcMar>
                        <w:hideMark/>
                      </w:tcPr>
                      <w:p w14:paraId="7DA7B805" w14:textId="77777777" w:rsidR="001E5B35" w:rsidRDefault="001E5B35">
                        <w:pPr>
                          <w:pStyle w:val="Heading4"/>
                          <w:jc w:val="center"/>
                          <w:rPr>
                            <w:rFonts w:eastAsia="Times New Roman"/>
                          </w:rPr>
                        </w:pPr>
                        <w:r>
                          <w:rPr>
                            <w:rFonts w:eastAsia="Times New Roman"/>
                          </w:rPr>
                          <w:lastRenderedPageBreak/>
                          <w:t>Pharmaceutical Services Negotiating Committee</w:t>
                        </w:r>
                      </w:p>
                      <w:p w14:paraId="264BA4FC" w14:textId="51E9064D" w:rsidR="001E5B35" w:rsidRDefault="001E5B35">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106E14D" wp14:editId="21082E68">
                              <wp:extent cx="609600" cy="304800"/>
                              <wp:effectExtent l="0" t="0" r="0" b="0"/>
                              <wp:docPr id="5" name="Picture 5">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FFE1D36" wp14:editId="11FF375C">
                              <wp:extent cx="609600" cy="304800"/>
                              <wp:effectExtent l="0" t="0" r="0" b="0"/>
                              <wp:docPr id="4" name="Picture 4" descr="Graphical user interface&#10;&#10;Description automatically generated">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a:hlinkClick r:id="rId18" tgtFrame="_blank"/>
                                      </pic:cNvPr>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2B3A372" wp14:editId="7AE3ADC0">
                              <wp:extent cx="609600" cy="304800"/>
                              <wp:effectExtent l="0" t="0" r="0" b="0"/>
                              <wp:docPr id="3" name="Picture 3" descr="Graphical user interface&#10;&#10;Description automatically generated">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a:hlinkClick r:id="rId21" tgtFrame="_blank"/>
                                      </pic:cNvPr>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0920596" wp14:editId="290437E0">
                              <wp:extent cx="609600" cy="304800"/>
                              <wp:effectExtent l="0" t="0" r="0" b="0"/>
                              <wp:docPr id="2" name="Picture 2" descr="Graphical user interface&#10;&#10;Description automatically generated">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4" tgtFrame="_blank"/>
                                      </pic:cNvPr>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3F05131E" w14:textId="77777777" w:rsidR="001E5B35" w:rsidRDefault="001E5B35">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7"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1E5B35" w14:paraId="4406F89E" w14:textId="77777777" w:rsidTr="001E5B35">
                    <w:trPr>
                      <w:trHeight w:val="20"/>
                      <w:tblCellSpacing w:w="0" w:type="dxa"/>
                      <w:jc w:val="center"/>
                    </w:trPr>
                    <w:tc>
                      <w:tcPr>
                        <w:tcW w:w="9000" w:type="dxa"/>
                        <w:tcMar>
                          <w:top w:w="150" w:type="dxa"/>
                          <w:left w:w="0" w:type="dxa"/>
                          <w:bottom w:w="0" w:type="dxa"/>
                          <w:right w:w="0" w:type="dxa"/>
                        </w:tcMar>
                        <w:vAlign w:val="center"/>
                        <w:hideMark/>
                      </w:tcPr>
                      <w:p w14:paraId="671C4EC6" w14:textId="2C309789" w:rsidR="001E5B35" w:rsidRDefault="001E5B35" w:rsidP="001E5B35">
                        <w:pPr>
                          <w:rPr>
                            <w:rFonts w:ascii="Arial" w:eastAsia="Times New Roman" w:hAnsi="Arial" w:cs="Arial"/>
                            <w:color w:val="FFFFFF"/>
                            <w:sz w:val="17"/>
                            <w:szCs w:val="17"/>
                          </w:rPr>
                        </w:pPr>
                      </w:p>
                    </w:tc>
                  </w:tr>
                </w:tbl>
                <w:p w14:paraId="5A7C9472" w14:textId="77777777" w:rsidR="001E5B35" w:rsidRDefault="001E5B35">
                  <w:pPr>
                    <w:jc w:val="center"/>
                    <w:rPr>
                      <w:rFonts w:ascii="Times New Roman" w:eastAsia="Times New Roman" w:hAnsi="Times New Roman" w:cs="Times New Roman"/>
                      <w:sz w:val="20"/>
                      <w:szCs w:val="20"/>
                    </w:rPr>
                  </w:pPr>
                </w:p>
              </w:tc>
            </w:tr>
          </w:tbl>
          <w:p w14:paraId="5B250C83" w14:textId="77777777" w:rsidR="001E5B35" w:rsidRDefault="001E5B35">
            <w:pPr>
              <w:jc w:val="center"/>
              <w:rPr>
                <w:rFonts w:ascii="Times New Roman" w:eastAsia="Times New Roman" w:hAnsi="Times New Roman" w:cs="Times New Roman"/>
                <w:sz w:val="20"/>
                <w:szCs w:val="20"/>
              </w:rPr>
            </w:pPr>
          </w:p>
        </w:tc>
      </w:tr>
    </w:tbl>
    <w:p w14:paraId="27CD953C" w14:textId="05550929" w:rsidR="001E5B35" w:rsidRDefault="001E5B35" w:rsidP="001E5B35">
      <w:pPr>
        <w:rPr>
          <w:rFonts w:eastAsia="Times New Roman"/>
        </w:rPr>
      </w:pPr>
      <w:r>
        <w:rPr>
          <w:rFonts w:eastAsia="Times New Roman"/>
          <w:noProof/>
        </w:rPr>
        <w:drawing>
          <wp:inline distT="0" distB="0" distL="0" distR="0" wp14:anchorId="3CED15AD" wp14:editId="502061CE">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E784A88"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4C9"/>
    <w:multiLevelType w:val="multilevel"/>
    <w:tmpl w:val="62549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B35"/>
    <w:rsid w:val="001E5B35"/>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7F3DA"/>
  <w15:chartTrackingRefBased/>
  <w15:docId w15:val="{28336E49-6083-43A9-9CE6-0DB437DA4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B35"/>
    <w:rPr>
      <w:rFonts w:ascii="Calibri" w:hAnsi="Calibri" w:cs="Calibri"/>
      <w:lang w:eastAsia="en-GB"/>
    </w:rPr>
  </w:style>
  <w:style w:type="paragraph" w:styleId="Heading1">
    <w:name w:val="heading 1"/>
    <w:basedOn w:val="Normal"/>
    <w:link w:val="Heading1Char"/>
    <w:uiPriority w:val="9"/>
    <w:qFormat/>
    <w:rsid w:val="001E5B35"/>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1E5B35"/>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1E5B35"/>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1E5B35"/>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B35"/>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1E5B35"/>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1E5B35"/>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1E5B35"/>
    <w:rPr>
      <w:rFonts w:ascii="Tahoma" w:hAnsi="Tahoma" w:cs="Tahoma"/>
      <w:b/>
      <w:bCs/>
      <w:color w:val="FFFFFF"/>
      <w:sz w:val="18"/>
      <w:szCs w:val="18"/>
      <w:lang w:eastAsia="en-GB"/>
    </w:rPr>
  </w:style>
  <w:style w:type="paragraph" w:styleId="NormalWeb">
    <w:name w:val="Normal (Web)"/>
    <w:basedOn w:val="Normal"/>
    <w:uiPriority w:val="99"/>
    <w:semiHidden/>
    <w:unhideWhenUsed/>
    <w:rsid w:val="001E5B35"/>
    <w:pPr>
      <w:spacing w:before="100" w:beforeAutospacing="1" w:after="100" w:afterAutospacing="1"/>
    </w:pPr>
  </w:style>
  <w:style w:type="character" w:styleId="Strong">
    <w:name w:val="Strong"/>
    <w:basedOn w:val="DefaultParagraphFont"/>
    <w:uiPriority w:val="22"/>
    <w:qFormat/>
    <w:rsid w:val="001E5B35"/>
    <w:rPr>
      <w:b/>
      <w:bCs/>
    </w:rPr>
  </w:style>
  <w:style w:type="character" w:styleId="Hyperlink">
    <w:name w:val="Hyperlink"/>
    <w:basedOn w:val="DefaultParagraphFont"/>
    <w:uiPriority w:val="99"/>
    <w:semiHidden/>
    <w:unhideWhenUsed/>
    <w:rsid w:val="001E5B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15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hyperlink" Target="https://psnc.us7.list-manage.com/track/click?u=86d41ab7fa4c7c2c5d7210782&amp;id=a4d735f1bc&amp;e=d19e9fd41c" TargetMode="External"/><Relationship Id="rId18" Type="http://schemas.openxmlformats.org/officeDocument/2006/relationships/hyperlink" Target="https://psnc.us7.list-manage.com/track/click?u=86d41ab7fa4c7c2c5d7210782&amp;id=f1d18f6072&amp;e=d19e9fd41c" TargetMode="External"/><Relationship Id="rId26" Type="http://schemas.openxmlformats.org/officeDocument/2006/relationships/image" Target="https://gallery.mailchimp.com/86d41ab7fa4c7c2c5d7210782/images/f5c0845f-f39c-425d-8d3c-deff11493c50.png" TargetMode="External"/><Relationship Id="rId3" Type="http://schemas.openxmlformats.org/officeDocument/2006/relationships/settings" Target="settings.xml"/><Relationship Id="rId21" Type="http://schemas.openxmlformats.org/officeDocument/2006/relationships/hyperlink" Target="https://psnc.us7.list-manage.com/track/click?u=86d41ab7fa4c7c2c5d7210782&amp;id=744cea041c&amp;e=d19e9fd41c" TargetMode="External"/><Relationship Id="rId7" Type="http://schemas.openxmlformats.org/officeDocument/2006/relationships/image" Target="media/image2.png"/><Relationship Id="rId12" Type="http://schemas.openxmlformats.org/officeDocument/2006/relationships/hyperlink" Target="https://psnc.us7.list-manage.com/track/click?u=86d41ab7fa4c7c2c5d7210782&amp;id=724e6ade9c&amp;e=d19e9fd41c" TargetMode="External"/><Relationship Id="rId17" Type="http://schemas.openxmlformats.org/officeDocument/2006/relationships/image" Target="https://gallery.mailchimp.com/86d41ab7fa4c7c2c5d7210782/images/5acd9cf1-bdba-4039-b74f-638b444ff5d8.png" TargetMode="External"/><Relationship Id="rId25"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https://gallery.mailchimp.com/86d41ab7fa4c7c2c5d7210782/images/e1475f6b-1081-4509-ab25-9cd7f83d26b2.png" TargetMode="External"/><Relationship Id="rId29" Type="http://schemas.openxmlformats.org/officeDocument/2006/relationships/image" Target="https://psnc.us7.list-manage.com/track/open.php?u=86d41ab7fa4c7c2c5d7210782&amp;id=c2cae4234b&amp;e=d19e9fd41c" TargetMode="External"/><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hyperlink" Target="https://psnc.us7.list-manage.com/track/click?u=86d41ab7fa4c7c2c5d7210782&amp;id=858045f2e9&amp;e=d19e9fd41c" TargetMode="External"/><Relationship Id="rId24" Type="http://schemas.openxmlformats.org/officeDocument/2006/relationships/hyperlink" Target="https://psnc.us7.list-manage.com/track/click?u=86d41ab7fa4c7c2c5d7210782&amp;id=e7977e6864&amp;e=d19e9fd41c" TargetMode="External"/><Relationship Id="rId5" Type="http://schemas.openxmlformats.org/officeDocument/2006/relationships/image" Target="media/image1.jpeg"/><Relationship Id="rId15" Type="http://schemas.openxmlformats.org/officeDocument/2006/relationships/hyperlink" Target="https://psnc.us7.list-manage.com/track/click?u=86d41ab7fa4c7c2c5d7210782&amp;id=4c051efc23&amp;e=d19e9fd41c" TargetMode="External"/><Relationship Id="rId23" Type="http://schemas.openxmlformats.org/officeDocument/2006/relationships/image" Target="https://gallery.mailchimp.com/86d41ab7fa4c7c2c5d7210782/images/cd088afd-0ac0-4498-8ed1-e4199bf882ce.png" TargetMode="External"/><Relationship Id="rId28" Type="http://schemas.openxmlformats.org/officeDocument/2006/relationships/image" Target="media/image7.gif"/><Relationship Id="rId10" Type="http://schemas.openxmlformats.org/officeDocument/2006/relationships/hyperlink" Target="https://psnc.us7.list-manage.com/track/click?u=86d41ab7fa4c7c2c5d7210782&amp;id=b7de095b8a&amp;e=d19e9fd41c" TargetMode="Externa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723cbd05fe&amp;e=d19e9fd41c" TargetMode="External"/><Relationship Id="rId14" Type="http://schemas.openxmlformats.org/officeDocument/2006/relationships/hyperlink" Target="https://psnc.us7.list-manage.com/track/click?u=86d41ab7fa4c7c2c5d7210782&amp;id=0a9d57e96e&amp;e=d19e9fd41c" TargetMode="External"/><Relationship Id="rId22" Type="http://schemas.openxmlformats.org/officeDocument/2006/relationships/image" Target="media/image5.png"/><Relationship Id="rId27" Type="http://schemas.openxmlformats.org/officeDocument/2006/relationships/hyperlink" Target="mailto:info@psnc.org.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675</Words>
  <Characters>3853</Characters>
  <Application>Microsoft Office Word</Application>
  <DocSecurity>0</DocSecurity>
  <Lines>32</Lines>
  <Paragraphs>9</Paragraphs>
  <ScaleCrop>false</ScaleCrop>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2022-01-04T08:38:00Z</dcterms:created>
  <dcterms:modified xsi:type="dcterms:W3CDTF">2022-01-04T08:41:00Z</dcterms:modified>
</cp:coreProperties>
</file>