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576F3" w14:paraId="72B1B6B3" w14:textId="77777777" w:rsidTr="00F576F3">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F576F3" w14:paraId="52C18CE6" w14:textId="77777777" w:rsidTr="00F576F3">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F576F3" w14:paraId="6DFCB3F5" w14:textId="77777777">
                    <w:trPr>
                      <w:tblCellSpacing w:w="0" w:type="dxa"/>
                      <w:jc w:val="center"/>
                    </w:trPr>
                    <w:tc>
                      <w:tcPr>
                        <w:tcW w:w="3000" w:type="dxa"/>
                        <w:hideMark/>
                      </w:tcPr>
                      <w:p w14:paraId="1D9165D7" w14:textId="0220E21F" w:rsidR="00F576F3" w:rsidRDefault="00F576F3">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290A974" w14:textId="77777777" w:rsidR="00F576F3" w:rsidRDefault="00F576F3">
                  <w:pPr>
                    <w:jc w:val="center"/>
                    <w:rPr>
                      <w:rFonts w:ascii="Times New Roman" w:eastAsia="Times New Roman" w:hAnsi="Times New Roman" w:cs="Times New Roman"/>
                      <w:sz w:val="20"/>
                      <w:szCs w:val="20"/>
                    </w:rPr>
                  </w:pPr>
                </w:p>
              </w:tc>
            </w:tr>
            <w:tr w:rsidR="00F576F3" w14:paraId="74A523BF" w14:textId="77777777" w:rsidTr="00F576F3">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F576F3" w14:paraId="38B6822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4436640" w14:textId="430B83C5" w:rsidR="00F576F3" w:rsidRDefault="00F576F3">
                        <w:pPr>
                          <w:jc w:val="center"/>
                          <w:rPr>
                            <w:rFonts w:eastAsia="Times New Roman"/>
                          </w:rPr>
                        </w:pPr>
                        <w:r>
                          <w:rPr>
                            <w:rFonts w:eastAsia="Times New Roman"/>
                            <w:noProof/>
                          </w:rPr>
                          <w:drawing>
                            <wp:inline distT="0" distB="0" distL="0" distR="0" wp14:anchorId="74755950" wp14:editId="3DFD8CB3">
                              <wp:extent cx="931545" cy="664210"/>
                              <wp:effectExtent l="0" t="0" r="190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1545" cy="664210"/>
                                      </a:xfrm>
                                      <a:prstGeom prst="rect">
                                        <a:avLst/>
                                      </a:prstGeom>
                                      <a:noFill/>
                                      <a:ln>
                                        <a:noFill/>
                                      </a:ln>
                                    </pic:spPr>
                                  </pic:pic>
                                </a:graphicData>
                              </a:graphic>
                            </wp:inline>
                          </w:drawing>
                        </w:r>
                      </w:p>
                    </w:tc>
                  </w:tr>
                  <w:tr w:rsidR="00F576F3" w14:paraId="6035875C" w14:textId="77777777">
                    <w:trPr>
                      <w:tblCellSpacing w:w="0" w:type="dxa"/>
                    </w:trPr>
                    <w:tc>
                      <w:tcPr>
                        <w:tcW w:w="0" w:type="auto"/>
                        <w:vMerge/>
                        <w:tcBorders>
                          <w:top w:val="nil"/>
                          <w:left w:val="nil"/>
                          <w:bottom w:val="single" w:sz="2" w:space="0" w:color="FFFFFF"/>
                          <w:right w:val="nil"/>
                        </w:tcBorders>
                        <w:vAlign w:val="center"/>
                        <w:hideMark/>
                      </w:tcPr>
                      <w:p w14:paraId="4CAC41B9" w14:textId="77777777" w:rsidR="00F576F3" w:rsidRDefault="00F576F3">
                        <w:pPr>
                          <w:rPr>
                            <w:rFonts w:eastAsia="Times New Roman"/>
                          </w:rPr>
                        </w:pPr>
                      </w:p>
                    </w:tc>
                    <w:tc>
                      <w:tcPr>
                        <w:tcW w:w="3450" w:type="dxa"/>
                        <w:tcBorders>
                          <w:top w:val="nil"/>
                          <w:left w:val="nil"/>
                          <w:bottom w:val="nil"/>
                          <w:right w:val="nil"/>
                        </w:tcBorders>
                        <w:vAlign w:val="center"/>
                        <w:hideMark/>
                      </w:tcPr>
                      <w:p w14:paraId="07624674" w14:textId="77777777" w:rsidR="00F576F3" w:rsidRDefault="00F576F3">
                        <w:pPr>
                          <w:pStyle w:val="Heading1"/>
                          <w:rPr>
                            <w:rFonts w:eastAsia="Times New Roman"/>
                          </w:rPr>
                        </w:pPr>
                        <w:r>
                          <w:rPr>
                            <w:rFonts w:eastAsia="Times New Roman"/>
                          </w:rPr>
                          <w:t>PSNC Newsletter</w:t>
                        </w:r>
                      </w:p>
                    </w:tc>
                  </w:tr>
                  <w:tr w:rsidR="00F576F3" w14:paraId="0E2DE7D4" w14:textId="77777777">
                    <w:trPr>
                      <w:tblCellSpacing w:w="0" w:type="dxa"/>
                    </w:trPr>
                    <w:tc>
                      <w:tcPr>
                        <w:tcW w:w="0" w:type="auto"/>
                        <w:vMerge/>
                        <w:tcBorders>
                          <w:top w:val="nil"/>
                          <w:left w:val="nil"/>
                          <w:bottom w:val="single" w:sz="2" w:space="0" w:color="FFFFFF"/>
                          <w:right w:val="nil"/>
                        </w:tcBorders>
                        <w:vAlign w:val="center"/>
                        <w:hideMark/>
                      </w:tcPr>
                      <w:p w14:paraId="0096CF9C" w14:textId="77777777" w:rsidR="00F576F3" w:rsidRDefault="00F576F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4A73876" w14:textId="77777777" w:rsidR="00F576F3" w:rsidRDefault="00F576F3">
                        <w:pPr>
                          <w:pStyle w:val="Heading2"/>
                          <w:rPr>
                            <w:rFonts w:eastAsia="Times New Roman"/>
                            <w:color w:val="93378A"/>
                          </w:rPr>
                        </w:pPr>
                        <w:r>
                          <w:rPr>
                            <w:rFonts w:eastAsia="Times New Roman"/>
                            <w:color w:val="93378A"/>
                          </w:rPr>
                          <w:t>Wednesday 15th December 2021</w:t>
                        </w:r>
                      </w:p>
                    </w:tc>
                  </w:tr>
                </w:tbl>
                <w:p w14:paraId="122370A5" w14:textId="77777777" w:rsidR="00F576F3" w:rsidRDefault="00F576F3">
                  <w:pPr>
                    <w:rPr>
                      <w:rFonts w:ascii="Times New Roman" w:eastAsia="Times New Roman" w:hAnsi="Times New Roman" w:cs="Times New Roman"/>
                      <w:sz w:val="20"/>
                      <w:szCs w:val="20"/>
                    </w:rPr>
                  </w:pPr>
                </w:p>
              </w:tc>
            </w:tr>
            <w:tr w:rsidR="00F576F3" w14:paraId="424398C2" w14:textId="77777777" w:rsidTr="00F576F3">
              <w:tblPrEx>
                <w:shd w:val="clear" w:color="auto" w:fill="auto"/>
              </w:tblPrEx>
              <w:trPr>
                <w:tblCellSpacing w:w="0" w:type="dxa"/>
                <w:jc w:val="center"/>
              </w:trPr>
              <w:tc>
                <w:tcPr>
                  <w:tcW w:w="9026" w:type="dxa"/>
                  <w:gridSpan w:val="2"/>
                  <w:hideMark/>
                </w:tcPr>
                <w:p w14:paraId="7E59489D" w14:textId="0ABE200E" w:rsidR="00F576F3" w:rsidRDefault="00F576F3">
                  <w:pPr>
                    <w:rPr>
                      <w:rFonts w:eastAsia="Times New Roman"/>
                    </w:rPr>
                  </w:pPr>
                  <w:r>
                    <w:rPr>
                      <w:rFonts w:eastAsia="Times New Roman"/>
                      <w:noProof/>
                    </w:rPr>
                    <w:drawing>
                      <wp:inline distT="0" distB="0" distL="0" distR="0" wp14:anchorId="54F0581C" wp14:editId="2F37CCF2">
                        <wp:extent cx="5719445" cy="207010"/>
                        <wp:effectExtent l="0" t="0" r="146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9445" cy="207010"/>
                                </a:xfrm>
                                <a:prstGeom prst="rect">
                                  <a:avLst/>
                                </a:prstGeom>
                                <a:noFill/>
                                <a:ln>
                                  <a:noFill/>
                                </a:ln>
                              </pic:spPr>
                            </pic:pic>
                          </a:graphicData>
                        </a:graphic>
                      </wp:inline>
                    </w:drawing>
                  </w:r>
                </w:p>
              </w:tc>
            </w:tr>
            <w:tr w:rsidR="00F576F3" w14:paraId="12F56A9B" w14:textId="77777777" w:rsidTr="00F576F3">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F576F3" w14:paraId="7207D800" w14:textId="77777777">
                    <w:trPr>
                      <w:trHeight w:val="150"/>
                      <w:tblCellSpacing w:w="15" w:type="dxa"/>
                      <w:jc w:val="center"/>
                    </w:trPr>
                    <w:tc>
                      <w:tcPr>
                        <w:tcW w:w="150" w:type="dxa"/>
                        <w:vAlign w:val="center"/>
                        <w:hideMark/>
                      </w:tcPr>
                      <w:p w14:paraId="36482FB5" w14:textId="77777777" w:rsidR="00F576F3" w:rsidRDefault="00F576F3">
                        <w:pPr>
                          <w:rPr>
                            <w:rFonts w:eastAsia="Times New Roman"/>
                          </w:rPr>
                        </w:pPr>
                      </w:p>
                    </w:tc>
                    <w:tc>
                      <w:tcPr>
                        <w:tcW w:w="8700" w:type="dxa"/>
                        <w:vAlign w:val="center"/>
                        <w:hideMark/>
                      </w:tcPr>
                      <w:p w14:paraId="0A5AF572" w14:textId="77777777" w:rsidR="00F576F3" w:rsidRDefault="00F576F3">
                        <w:pPr>
                          <w:rPr>
                            <w:rFonts w:ascii="Times New Roman" w:eastAsia="Times New Roman" w:hAnsi="Times New Roman" w:cs="Times New Roman"/>
                            <w:sz w:val="20"/>
                            <w:szCs w:val="20"/>
                          </w:rPr>
                        </w:pPr>
                      </w:p>
                    </w:tc>
                    <w:tc>
                      <w:tcPr>
                        <w:tcW w:w="150" w:type="dxa"/>
                        <w:vAlign w:val="center"/>
                        <w:hideMark/>
                      </w:tcPr>
                      <w:p w14:paraId="5E86BCDA" w14:textId="77777777" w:rsidR="00F576F3" w:rsidRDefault="00F576F3">
                        <w:pPr>
                          <w:rPr>
                            <w:rFonts w:ascii="Times New Roman" w:eastAsia="Times New Roman" w:hAnsi="Times New Roman" w:cs="Times New Roman"/>
                            <w:sz w:val="20"/>
                            <w:szCs w:val="20"/>
                          </w:rPr>
                        </w:pPr>
                      </w:p>
                    </w:tc>
                  </w:tr>
                  <w:tr w:rsidR="00F576F3" w14:paraId="33D25600" w14:textId="77777777">
                    <w:trPr>
                      <w:tblCellSpacing w:w="15" w:type="dxa"/>
                      <w:jc w:val="center"/>
                    </w:trPr>
                    <w:tc>
                      <w:tcPr>
                        <w:tcW w:w="150" w:type="dxa"/>
                        <w:vAlign w:val="center"/>
                        <w:hideMark/>
                      </w:tcPr>
                      <w:p w14:paraId="31F66BEA" w14:textId="77777777" w:rsidR="00F576F3" w:rsidRDefault="00F576F3">
                        <w:pPr>
                          <w:rPr>
                            <w:rFonts w:ascii="Times New Roman" w:eastAsia="Times New Roman" w:hAnsi="Times New Roman" w:cs="Times New Roman"/>
                            <w:sz w:val="20"/>
                            <w:szCs w:val="20"/>
                          </w:rPr>
                        </w:pPr>
                      </w:p>
                    </w:tc>
                    <w:tc>
                      <w:tcPr>
                        <w:tcW w:w="8700" w:type="dxa"/>
                        <w:vAlign w:val="center"/>
                        <w:hideMark/>
                      </w:tcPr>
                      <w:p w14:paraId="5596C9D9" w14:textId="77777777" w:rsidR="00F576F3" w:rsidRDefault="00F576F3">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4CA5B82" w14:textId="77777777" w:rsidR="00F576F3" w:rsidRDefault="00F576F3">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371025D">
                            <v:rect id="_x0000_i1032" style="width:468pt;height:1.5pt" o:hralign="center" o:hrstd="t" o:hr="t" fillcolor="#a0a0a0" stroked="f"/>
                          </w:pict>
                        </w:r>
                      </w:p>
                      <w:p w14:paraId="32253D41" w14:textId="77777777" w:rsidR="00F576F3" w:rsidRDefault="00F576F3">
                        <w:pPr>
                          <w:pStyle w:val="Heading2"/>
                          <w:rPr>
                            <w:rFonts w:eastAsia="Times New Roman"/>
                          </w:rPr>
                        </w:pPr>
                        <w:r>
                          <w:rPr>
                            <w:rFonts w:eastAsia="Times New Roman"/>
                          </w:rPr>
                          <w:t>In this update: PQS deadline extension and further measures; holiday openings; update on LFD availability; December price concessions.</w:t>
                        </w:r>
                      </w:p>
                      <w:p w14:paraId="59ABB4D6" w14:textId="77777777" w:rsidR="00F576F3" w:rsidRDefault="00F576F3">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1747B9B">
                            <v:rect id="_x0000_i1033" style="width:468pt;height:1.5pt" o:hralign="center" o:hrstd="t" o:hr="t" fillcolor="#a0a0a0" stroked="f"/>
                          </w:pict>
                        </w:r>
                      </w:p>
                      <w:p w14:paraId="2B4567DC" w14:textId="77777777" w:rsidR="00F576F3" w:rsidRDefault="00F576F3">
                        <w:pPr>
                          <w:pStyle w:val="Heading3"/>
                          <w:rPr>
                            <w:rFonts w:eastAsia="Times New Roman"/>
                          </w:rPr>
                        </w:pPr>
                        <w:r>
                          <w:rPr>
                            <w:rFonts w:eastAsia="Times New Roman"/>
                          </w:rPr>
                          <w:t>PQS deadline extension and further measures</w:t>
                        </w:r>
                      </w:p>
                      <w:p w14:paraId="20AE2EE7" w14:textId="428F7AD4" w:rsidR="00F576F3" w:rsidRDefault="00F576F3" w:rsidP="00F576F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has reached agreement with NHS England and NHS Improvement (NHSE&amp;I) and the Department of Health and Social Care (DHSC) on several measures to help ease the immediate pressures on community pharmacies.  </w:t>
                        </w:r>
                      </w:p>
                      <w:p w14:paraId="554A0E70" w14:textId="77777777" w:rsidR="00F576F3" w:rsidRDefault="00F576F3" w:rsidP="00F576F3">
                        <w:pPr>
                          <w:pStyle w:val="NormalWeb"/>
                          <w:spacing w:line="264" w:lineRule="auto"/>
                          <w:rPr>
                            <w:rFonts w:ascii="Tahoma" w:hAnsi="Tahoma" w:cs="Tahoma"/>
                            <w:color w:val="303030"/>
                            <w:sz w:val="21"/>
                            <w:szCs w:val="21"/>
                          </w:rPr>
                        </w:pPr>
                        <w:r>
                          <w:rPr>
                            <w:rFonts w:ascii="Tahoma" w:hAnsi="Tahoma" w:cs="Tahoma"/>
                            <w:color w:val="303030"/>
                            <w:sz w:val="21"/>
                            <w:szCs w:val="21"/>
                          </w:rPr>
                          <w:t>Foremost among these is an extension, in line with last year's arrangements, to the deadline for meeting the requirements of the Pharmacy Quality Scheme (PQS). Pharmacies will still need to make the PQS declaration during the February window, but as last year, this will be a claim for work to be undertaken and evidenced by 30th June 2022. Further details will be published shortly on the NHS Business Services Authority (NHSBSA) website.</w:t>
                        </w:r>
                        <w:r>
                          <w:rPr>
                            <w:rFonts w:ascii="Tahoma" w:hAnsi="Tahoma" w:cs="Tahoma"/>
                            <w:color w:val="303030"/>
                            <w:sz w:val="21"/>
                            <w:szCs w:val="21"/>
                          </w:rPr>
                          <w:br/>
                        </w:r>
                        <w:r>
                          <w:rPr>
                            <w:rFonts w:ascii="Tahoma" w:hAnsi="Tahoma" w:cs="Tahoma"/>
                            <w:color w:val="303030"/>
                            <w:sz w:val="21"/>
                            <w:szCs w:val="21"/>
                          </w:rPr>
                          <w:br/>
                          <w:t>Contractors are also no longer required to complete the Community Pharmacy Patient Questionnaire (CPPQ), a contractor-chosen clinical audit, nor a national audit (which was intended to be on valproate) for 2021/22. These measures are not all that PSNC asked for from NHSE&amp;I and DHSC, but they are the majority, and we are pleased that NHSE&amp;I and DHSC have committed to keeping the situation under review. </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Learn more</w:t>
                          </w:r>
                        </w:hyperlink>
                      </w:p>
                      <w:p w14:paraId="1518B336" w14:textId="77777777" w:rsidR="00F576F3" w:rsidRDefault="00F576F3">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CB6D0A3">
                            <v:rect id="_x0000_i1034" style="width:468pt;height:1.5pt" o:hralign="center" o:hrstd="t" o:hr="t" fillcolor="#a0a0a0" stroked="f"/>
                          </w:pict>
                        </w:r>
                      </w:p>
                      <w:p w14:paraId="6F9FCDE5" w14:textId="77777777" w:rsidR="00F576F3" w:rsidRDefault="00F576F3">
                        <w:pPr>
                          <w:pStyle w:val="Heading3"/>
                          <w:rPr>
                            <w:rFonts w:eastAsia="Times New Roman"/>
                          </w:rPr>
                        </w:pPr>
                        <w:r>
                          <w:rPr>
                            <w:rFonts w:eastAsia="Times New Roman"/>
                          </w:rPr>
                          <w:t>Holiday Openings: Boxing Day and New Year’s Day </w:t>
                        </w:r>
                      </w:p>
                      <w:p w14:paraId="60AABBA2" w14:textId="1568005F" w:rsidR="00F576F3" w:rsidRDefault="00F576F3" w:rsidP="00F576F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has been seeking flexibility from NHSE&amp;I about holiday openings this year. In these conversations, NHSE&amp;I has informed PSNC that in some areas, </w:t>
                        </w:r>
                        <w:proofErr w:type="gramStart"/>
                        <w:r>
                          <w:rPr>
                            <w:rFonts w:ascii="Tahoma" w:eastAsia="Times New Roman" w:hAnsi="Tahoma" w:cs="Tahoma"/>
                            <w:color w:val="303030"/>
                            <w:sz w:val="21"/>
                            <w:szCs w:val="21"/>
                          </w:rPr>
                          <w:t>a number of</w:t>
                        </w:r>
                        <w:proofErr w:type="gramEnd"/>
                        <w:r>
                          <w:rPr>
                            <w:rFonts w:ascii="Tahoma" w:eastAsia="Times New Roman" w:hAnsi="Tahoma" w:cs="Tahoma"/>
                            <w:color w:val="303030"/>
                            <w:sz w:val="21"/>
                            <w:szCs w:val="21"/>
                          </w:rPr>
                          <w:t> contractors are seeking to close due to pandemic and workforce pressures on two specific days, Boxing Day (Sunday 26th December 2021) and New Year’s Day (Saturday 1st January 2022). These two days are </w:t>
                        </w:r>
                        <w:r>
                          <w:rPr>
                            <w:rStyle w:val="Strong"/>
                            <w:rFonts w:ascii="Tahoma" w:eastAsia="Times New Roman" w:hAnsi="Tahoma" w:cs="Tahoma"/>
                            <w:color w:val="303030"/>
                            <w:sz w:val="21"/>
                            <w:szCs w:val="21"/>
                          </w:rPr>
                          <w:t>not </w:t>
                        </w:r>
                        <w:r>
                          <w:rPr>
                            <w:rFonts w:ascii="Tahoma" w:eastAsia="Times New Roman" w:hAnsi="Tahoma" w:cs="Tahoma"/>
                            <w:color w:val="303030"/>
                            <w:sz w:val="21"/>
                            <w:szCs w:val="21"/>
                          </w:rPr>
                          <w:t xml:space="preserve">Bank Holidays this year, but normal contractual days.   </w:t>
                        </w:r>
                      </w:p>
                      <w:p w14:paraId="10ED0FFE" w14:textId="77777777" w:rsidR="00F576F3" w:rsidRDefault="00F576F3" w:rsidP="00F576F3">
                        <w:pPr>
                          <w:pStyle w:val="NormalWeb"/>
                          <w:spacing w:line="264" w:lineRule="auto"/>
                          <w:rPr>
                            <w:rFonts w:ascii="Tahoma" w:hAnsi="Tahoma" w:cs="Tahoma"/>
                            <w:color w:val="303030"/>
                            <w:sz w:val="21"/>
                            <w:szCs w:val="21"/>
                          </w:rPr>
                        </w:pPr>
                        <w:r>
                          <w:rPr>
                            <w:rFonts w:ascii="Tahoma" w:hAnsi="Tahoma" w:cs="Tahoma"/>
                            <w:color w:val="303030"/>
                            <w:sz w:val="21"/>
                            <w:szCs w:val="21"/>
                          </w:rPr>
                          <w:t>NHSE&amp;I has agreed that contractors in an area may agree with NHSE&amp;I a pharmacy opening plan for pharmacies in that area, which ensures adequate patient access to pharmaceutical services; recognising the pressures contractors are under. </w:t>
                        </w:r>
                        <w:r>
                          <w:rPr>
                            <w:rStyle w:val="Strong"/>
                            <w:rFonts w:ascii="Tahoma" w:hAnsi="Tahoma" w:cs="Tahoma"/>
                            <w:color w:val="303030"/>
                            <w:sz w:val="21"/>
                            <w:szCs w:val="21"/>
                          </w:rPr>
                          <w:t>This applies to Boxing Day and New Year’s Day only</w:t>
                        </w:r>
                        <w:r>
                          <w:rPr>
                            <w:rFonts w:ascii="Tahoma" w:hAnsi="Tahoma" w:cs="Tahoma"/>
                            <w:color w:val="303030"/>
                            <w:sz w:val="21"/>
                            <w:szCs w:val="21"/>
                          </w:rPr>
                          <w:t xml:space="preserve">. Applications for such plans will be considered by </w:t>
                        </w:r>
                        <w:r>
                          <w:rPr>
                            <w:rFonts w:ascii="Tahoma" w:hAnsi="Tahoma" w:cs="Tahoma"/>
                            <w:color w:val="303030"/>
                            <w:sz w:val="21"/>
                            <w:szCs w:val="21"/>
                          </w:rPr>
                          <w:lastRenderedPageBreak/>
                          <w:t>NHSE&amp;I regional teams, which are keen to ensure fairness between contractors. This is intended for specific areas where there are known difficulties finding a pharmacist for the pharmacy.</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more about holiday openings</w:t>
                          </w:r>
                        </w:hyperlink>
                      </w:p>
                      <w:p w14:paraId="718B4A74" w14:textId="77777777" w:rsidR="00F576F3" w:rsidRDefault="00F576F3">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C6EC332">
                            <v:rect id="_x0000_i1035" style="width:468pt;height:1.5pt" o:hralign="center" o:hrstd="t" o:hr="t" fillcolor="#a0a0a0" stroked="f"/>
                          </w:pict>
                        </w:r>
                      </w:p>
                      <w:p w14:paraId="07B4336A" w14:textId="77777777" w:rsidR="00F576F3" w:rsidRDefault="00F576F3">
                        <w:pPr>
                          <w:pStyle w:val="Heading3"/>
                          <w:rPr>
                            <w:rFonts w:eastAsia="Times New Roman"/>
                          </w:rPr>
                        </w:pPr>
                        <w:r>
                          <w:rPr>
                            <w:rFonts w:eastAsia="Times New Roman"/>
                          </w:rPr>
                          <w:t>Lateral Flow Test availability: Update for pharmacy teams</w:t>
                        </w:r>
                      </w:p>
                      <w:p w14:paraId="272512F2" w14:textId="5366C7BD" w:rsidR="00F576F3" w:rsidRDefault="00F576F3" w:rsidP="00F576F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has been in urgent discussions with the UK Health Security Agency (UKHSA) about the availability of NHS Test and Trace Lateral Flow Devices (LFDs) to pharmacies.  </w:t>
                        </w:r>
                      </w:p>
                      <w:p w14:paraId="5454928C" w14:textId="77777777" w:rsidR="00F576F3" w:rsidRDefault="00F576F3" w:rsidP="00F576F3">
                        <w:pPr>
                          <w:pStyle w:val="NormalWeb"/>
                          <w:spacing w:line="264" w:lineRule="auto"/>
                          <w:rPr>
                            <w:rFonts w:ascii="Tahoma" w:hAnsi="Tahoma" w:cs="Tahoma"/>
                            <w:color w:val="303030"/>
                            <w:sz w:val="21"/>
                            <w:szCs w:val="21"/>
                          </w:rPr>
                        </w:pPr>
                        <w:r>
                          <w:rPr>
                            <w:rFonts w:ascii="Tahoma" w:hAnsi="Tahoma" w:cs="Tahoma"/>
                            <w:color w:val="303030"/>
                            <w:sz w:val="21"/>
                            <w:szCs w:val="21"/>
                          </w:rPr>
                          <w:t>The UKHSA have confirmed that there are plenty of stocks available in the country, and that they have now activated contingency measures to support the supply of tests to pharmacies. Unfortunately, they are unable to lift the cap of one carton per pharmacy per day due to logistical limitations in the distribution system for the test kits, and we expect the demand for tests to remain high for the next few days.</w:t>
                        </w:r>
                      </w:p>
                      <w:p w14:paraId="4B86ED62" w14:textId="77777777" w:rsidR="00F576F3" w:rsidRDefault="00F576F3" w:rsidP="00F576F3">
                        <w:pPr>
                          <w:pStyle w:val="NormalWeb"/>
                          <w:spacing w:line="264" w:lineRule="auto"/>
                          <w:rPr>
                            <w:rFonts w:ascii="Tahoma" w:hAnsi="Tahoma" w:cs="Tahoma"/>
                            <w:color w:val="303030"/>
                            <w:sz w:val="21"/>
                            <w:szCs w:val="21"/>
                          </w:rPr>
                        </w:pPr>
                        <w:r>
                          <w:rPr>
                            <w:rFonts w:ascii="Tahoma" w:hAnsi="Tahoma" w:cs="Tahoma"/>
                            <w:color w:val="303030"/>
                            <w:sz w:val="21"/>
                            <w:szCs w:val="21"/>
                          </w:rPr>
                          <w:t>Pharmacies should continue to order stock from Alliance Healthcare using the following PIP code: </w:t>
                        </w:r>
                        <w:r>
                          <w:rPr>
                            <w:rStyle w:val="Strong"/>
                            <w:rFonts w:ascii="Tahoma" w:hAnsi="Tahoma" w:cs="Tahoma"/>
                            <w:color w:val="303030"/>
                            <w:sz w:val="21"/>
                            <w:szCs w:val="21"/>
                          </w:rPr>
                          <w:t>PIP: 8943995 </w:t>
                        </w:r>
                        <w:r>
                          <w:rPr>
                            <w:rFonts w:ascii="Tahoma" w:hAnsi="Tahoma" w:cs="Tahoma"/>
                            <w:color w:val="303030"/>
                            <w:sz w:val="21"/>
                            <w:szCs w:val="21"/>
                          </w:rPr>
                          <w:t>‘</w:t>
                        </w:r>
                        <w:r>
                          <w:rPr>
                            <w:rStyle w:val="Strong"/>
                            <w:rFonts w:ascii="Tahoma" w:hAnsi="Tahoma" w:cs="Tahoma"/>
                            <w:color w:val="303030"/>
                            <w:sz w:val="21"/>
                            <w:szCs w:val="21"/>
                          </w:rPr>
                          <w:t xml:space="preserve">DHSC ORIENT GENE test </w:t>
                        </w:r>
                        <w:proofErr w:type="gramStart"/>
                        <w:r>
                          <w:rPr>
                            <w:rStyle w:val="Strong"/>
                            <w:rFonts w:ascii="Tahoma" w:hAnsi="Tahoma" w:cs="Tahoma"/>
                            <w:color w:val="303030"/>
                            <w:sz w:val="21"/>
                            <w:szCs w:val="21"/>
                          </w:rPr>
                          <w:t>kits</w:t>
                        </w:r>
                        <w:r>
                          <w:rPr>
                            <w:rFonts w:ascii="Tahoma" w:hAnsi="Tahoma" w:cs="Tahoma"/>
                            <w:color w:val="303030"/>
                            <w:sz w:val="21"/>
                            <w:szCs w:val="21"/>
                          </w:rPr>
                          <w:t>’</w:t>
                        </w:r>
                        <w:proofErr w:type="gramEnd"/>
                        <w:r>
                          <w:rPr>
                            <w:rFonts w:ascii="Tahoma" w:hAnsi="Tahoma" w:cs="Tahoma"/>
                            <w:color w:val="303030"/>
                            <w:sz w:val="21"/>
                            <w:szCs w:val="21"/>
                          </w:rPr>
                          <w:t>. If a pharmacy is getting an out-of-stock message from Alliance Healthcare, it is best to try again the next morning as systems will be updated as soon as that day’s UKHSA stock arrives.</w:t>
                        </w:r>
                      </w:p>
                      <w:p w14:paraId="124DB15B" w14:textId="77777777" w:rsidR="00F576F3" w:rsidRDefault="00F576F3">
                        <w:pPr>
                          <w:pStyle w:val="NormalWeb"/>
                          <w:spacing w:line="264" w:lineRule="auto"/>
                          <w:jc w:val="both"/>
                          <w:rPr>
                            <w:rFonts w:ascii="Tahoma" w:hAnsi="Tahoma" w:cs="Tahoma"/>
                            <w:color w:val="303030"/>
                            <w:sz w:val="21"/>
                            <w:szCs w:val="21"/>
                          </w:rPr>
                        </w:pPr>
                        <w:hyperlink r:id="rId10" w:tgtFrame="_blank" w:history="1">
                          <w:r>
                            <w:rPr>
                              <w:rStyle w:val="Hyperlink"/>
                              <w:rFonts w:ascii="Tahoma" w:hAnsi="Tahoma" w:cs="Tahoma"/>
                              <w:b/>
                              <w:bCs/>
                              <w:color w:val="4E3487"/>
                              <w:sz w:val="21"/>
                              <w:szCs w:val="21"/>
                            </w:rPr>
                            <w:t>Find out more</w:t>
                          </w:r>
                        </w:hyperlink>
                      </w:p>
                      <w:p w14:paraId="4999A0FD" w14:textId="77777777" w:rsidR="00F576F3" w:rsidRDefault="00F576F3">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0434808">
                            <v:rect id="_x0000_i1036" style="width:468pt;height:1.5pt" o:hralign="center" o:hrstd="t" o:hr="t" fillcolor="#a0a0a0" stroked="f"/>
                          </w:pict>
                        </w:r>
                      </w:p>
                      <w:p w14:paraId="25C1D4D7" w14:textId="77777777" w:rsidR="00F576F3" w:rsidRDefault="00F576F3">
                        <w:pPr>
                          <w:pStyle w:val="Heading3"/>
                          <w:rPr>
                            <w:rFonts w:eastAsia="Times New Roman"/>
                          </w:rPr>
                        </w:pPr>
                        <w:r>
                          <w:rPr>
                            <w:rFonts w:eastAsia="Times New Roman"/>
                          </w:rPr>
                          <w:t>December 2021 Price Concessions – First Update</w:t>
                        </w:r>
                      </w:p>
                      <w:p w14:paraId="180F0829" w14:textId="48C547F8" w:rsidR="00F576F3" w:rsidRDefault="00F576F3" w:rsidP="00F576F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DHSC has today granted the initial list of price concessions for December 2021. PSNC is still working with DHSC to agree further concessionary prices on other drugs reported to be unavailable at the stated December 2021 Drug Tariff price.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See the initial list of price concessions</w:t>
                          </w:r>
                        </w:hyperlink>
                      </w:p>
                    </w:tc>
                    <w:tc>
                      <w:tcPr>
                        <w:tcW w:w="150" w:type="dxa"/>
                        <w:vAlign w:val="center"/>
                        <w:hideMark/>
                      </w:tcPr>
                      <w:p w14:paraId="13B8CE63" w14:textId="77777777" w:rsidR="00F576F3" w:rsidRDefault="00F576F3">
                        <w:pPr>
                          <w:rPr>
                            <w:rFonts w:ascii="Tahoma" w:eastAsia="Times New Roman" w:hAnsi="Tahoma" w:cs="Tahoma"/>
                            <w:color w:val="303030"/>
                            <w:sz w:val="21"/>
                            <w:szCs w:val="21"/>
                          </w:rPr>
                        </w:pPr>
                      </w:p>
                    </w:tc>
                  </w:tr>
                  <w:tr w:rsidR="00F576F3" w14:paraId="0EF0B09D" w14:textId="77777777">
                    <w:trPr>
                      <w:trHeight w:val="150"/>
                      <w:tblCellSpacing w:w="15" w:type="dxa"/>
                      <w:jc w:val="center"/>
                    </w:trPr>
                    <w:tc>
                      <w:tcPr>
                        <w:tcW w:w="150" w:type="dxa"/>
                        <w:vAlign w:val="center"/>
                        <w:hideMark/>
                      </w:tcPr>
                      <w:p w14:paraId="273A1405" w14:textId="77777777" w:rsidR="00F576F3" w:rsidRDefault="00F576F3">
                        <w:pPr>
                          <w:rPr>
                            <w:rFonts w:ascii="Times New Roman" w:eastAsia="Times New Roman" w:hAnsi="Times New Roman" w:cs="Times New Roman"/>
                            <w:sz w:val="20"/>
                            <w:szCs w:val="20"/>
                          </w:rPr>
                        </w:pPr>
                      </w:p>
                    </w:tc>
                    <w:tc>
                      <w:tcPr>
                        <w:tcW w:w="8700" w:type="dxa"/>
                        <w:vAlign w:val="center"/>
                        <w:hideMark/>
                      </w:tcPr>
                      <w:p w14:paraId="7A1ECB5F" w14:textId="77777777" w:rsidR="00F576F3" w:rsidRDefault="00F576F3">
                        <w:pPr>
                          <w:rPr>
                            <w:rFonts w:ascii="Times New Roman" w:eastAsia="Times New Roman" w:hAnsi="Times New Roman" w:cs="Times New Roman"/>
                            <w:sz w:val="20"/>
                            <w:szCs w:val="20"/>
                          </w:rPr>
                        </w:pPr>
                      </w:p>
                    </w:tc>
                    <w:tc>
                      <w:tcPr>
                        <w:tcW w:w="150" w:type="dxa"/>
                        <w:vAlign w:val="center"/>
                        <w:hideMark/>
                      </w:tcPr>
                      <w:p w14:paraId="0A6CE743" w14:textId="77777777" w:rsidR="00F576F3" w:rsidRDefault="00F576F3">
                        <w:pPr>
                          <w:rPr>
                            <w:rFonts w:ascii="Times New Roman" w:eastAsia="Times New Roman" w:hAnsi="Times New Roman" w:cs="Times New Roman"/>
                            <w:sz w:val="20"/>
                            <w:szCs w:val="20"/>
                          </w:rPr>
                        </w:pPr>
                      </w:p>
                    </w:tc>
                  </w:tr>
                </w:tbl>
                <w:p w14:paraId="42B41E26" w14:textId="77777777" w:rsidR="00F576F3" w:rsidRDefault="00F576F3">
                  <w:pPr>
                    <w:jc w:val="center"/>
                    <w:rPr>
                      <w:rFonts w:ascii="Times New Roman" w:eastAsia="Times New Roman" w:hAnsi="Times New Roman" w:cs="Times New Roman"/>
                      <w:sz w:val="20"/>
                      <w:szCs w:val="20"/>
                    </w:rPr>
                  </w:pPr>
                </w:p>
              </w:tc>
            </w:tr>
          </w:tbl>
          <w:p w14:paraId="6C0764C4" w14:textId="77777777" w:rsidR="00F576F3" w:rsidRDefault="00F576F3">
            <w:pPr>
              <w:jc w:val="center"/>
              <w:rPr>
                <w:rFonts w:ascii="Times New Roman" w:eastAsia="Times New Roman" w:hAnsi="Times New Roman" w:cs="Times New Roman"/>
                <w:sz w:val="20"/>
                <w:szCs w:val="20"/>
              </w:rPr>
            </w:pPr>
          </w:p>
        </w:tc>
      </w:tr>
      <w:tr w:rsidR="00F576F3" w14:paraId="61C7177E" w14:textId="77777777" w:rsidTr="00F576F3">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576F3" w14:paraId="79B1F3BF"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576F3" w14:paraId="38CE5D15" w14:textId="77777777">
                    <w:trPr>
                      <w:tblCellSpacing w:w="0" w:type="dxa"/>
                      <w:jc w:val="center"/>
                    </w:trPr>
                    <w:tc>
                      <w:tcPr>
                        <w:tcW w:w="3000" w:type="dxa"/>
                        <w:tcMar>
                          <w:top w:w="30" w:type="dxa"/>
                          <w:left w:w="75" w:type="dxa"/>
                          <w:bottom w:w="30" w:type="dxa"/>
                          <w:right w:w="75" w:type="dxa"/>
                        </w:tcMar>
                        <w:hideMark/>
                      </w:tcPr>
                      <w:p w14:paraId="26BAE8D7" w14:textId="77777777" w:rsidR="00F576F3" w:rsidRDefault="00F576F3">
                        <w:pPr>
                          <w:pStyle w:val="Heading4"/>
                          <w:jc w:val="center"/>
                          <w:rPr>
                            <w:rFonts w:eastAsia="Times New Roman"/>
                          </w:rPr>
                        </w:pPr>
                        <w:r>
                          <w:rPr>
                            <w:rFonts w:eastAsia="Times New Roman"/>
                          </w:rPr>
                          <w:lastRenderedPageBreak/>
                          <w:t>Pharmaceutical Services Negotiating Committee</w:t>
                        </w:r>
                      </w:p>
                      <w:p w14:paraId="6B8344AA" w14:textId="73C02211" w:rsidR="00F576F3" w:rsidRDefault="00F576F3">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02F1FEA" wp14:editId="7E1B2DFC">
                              <wp:extent cx="612775" cy="301625"/>
                              <wp:effectExtent l="0" t="0" r="15875" b="3175"/>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2775" cy="301625"/>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AE83903" wp14:editId="47E18556">
                              <wp:extent cx="612775" cy="301625"/>
                              <wp:effectExtent l="0" t="0" r="15875" b="3175"/>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12775" cy="301625"/>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9DFFC3D" wp14:editId="12365653">
                              <wp:extent cx="612775" cy="301625"/>
                              <wp:effectExtent l="0" t="0" r="15875" b="3175"/>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12775" cy="301625"/>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0DC62F6" wp14:editId="36D43BEB">
                              <wp:extent cx="612775" cy="301625"/>
                              <wp:effectExtent l="0" t="0" r="15875" b="3175"/>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12775" cy="301625"/>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5EE0F51" w14:textId="77777777" w:rsidR="00F576F3" w:rsidRDefault="00F576F3">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F576F3" w14:paraId="291F0242" w14:textId="77777777" w:rsidTr="00F576F3">
                    <w:trPr>
                      <w:trHeight w:val="19"/>
                      <w:tblCellSpacing w:w="0" w:type="dxa"/>
                      <w:jc w:val="center"/>
                    </w:trPr>
                    <w:tc>
                      <w:tcPr>
                        <w:tcW w:w="9000" w:type="dxa"/>
                        <w:tcMar>
                          <w:top w:w="150" w:type="dxa"/>
                          <w:left w:w="0" w:type="dxa"/>
                          <w:bottom w:w="0" w:type="dxa"/>
                          <w:right w:w="0" w:type="dxa"/>
                        </w:tcMar>
                        <w:vAlign w:val="center"/>
                        <w:hideMark/>
                      </w:tcPr>
                      <w:p w14:paraId="5FD5D37B" w14:textId="228A5D9E" w:rsidR="00F576F3" w:rsidRDefault="00F576F3" w:rsidP="00F576F3">
                        <w:pPr>
                          <w:rPr>
                            <w:rFonts w:ascii="Arial" w:eastAsia="Times New Roman" w:hAnsi="Arial" w:cs="Arial"/>
                            <w:color w:val="FFFFFF"/>
                            <w:sz w:val="17"/>
                            <w:szCs w:val="17"/>
                          </w:rPr>
                        </w:pPr>
                      </w:p>
                    </w:tc>
                  </w:tr>
                </w:tbl>
                <w:p w14:paraId="25A65906" w14:textId="77777777" w:rsidR="00F576F3" w:rsidRDefault="00F576F3">
                  <w:pPr>
                    <w:jc w:val="center"/>
                    <w:rPr>
                      <w:rFonts w:ascii="Times New Roman" w:eastAsia="Times New Roman" w:hAnsi="Times New Roman" w:cs="Times New Roman"/>
                      <w:sz w:val="20"/>
                      <w:szCs w:val="20"/>
                    </w:rPr>
                  </w:pPr>
                </w:p>
              </w:tc>
            </w:tr>
          </w:tbl>
          <w:p w14:paraId="3AE0EBE9" w14:textId="77777777" w:rsidR="00F576F3" w:rsidRDefault="00F576F3">
            <w:pPr>
              <w:jc w:val="center"/>
              <w:rPr>
                <w:rFonts w:ascii="Times New Roman" w:eastAsia="Times New Roman" w:hAnsi="Times New Roman" w:cs="Times New Roman"/>
                <w:sz w:val="20"/>
                <w:szCs w:val="20"/>
              </w:rPr>
            </w:pPr>
          </w:p>
        </w:tc>
      </w:tr>
    </w:tbl>
    <w:p w14:paraId="2DDD326A" w14:textId="578E26A4" w:rsidR="00F576F3" w:rsidRDefault="00F576F3" w:rsidP="00F576F3">
      <w:pPr>
        <w:rPr>
          <w:rFonts w:eastAsia="Times New Roman"/>
        </w:rPr>
      </w:pPr>
      <w:r>
        <w:rPr>
          <w:rFonts w:eastAsia="Times New Roman"/>
          <w:noProof/>
        </w:rPr>
        <w:drawing>
          <wp:inline distT="0" distB="0" distL="0" distR="0" wp14:anchorId="61CD570D" wp14:editId="7B250DC5">
            <wp:extent cx="8890" cy="8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669A717F"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F3"/>
    <w:rsid w:val="00DD1890"/>
    <w:rsid w:val="00F57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A39F"/>
  <w15:chartTrackingRefBased/>
  <w15:docId w15:val="{4698FB49-D1DE-4C7A-AB00-347C4595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6F3"/>
    <w:rPr>
      <w:rFonts w:ascii="Calibri" w:hAnsi="Calibri" w:cs="Calibri"/>
      <w:lang w:eastAsia="en-GB"/>
    </w:rPr>
  </w:style>
  <w:style w:type="paragraph" w:styleId="Heading1">
    <w:name w:val="heading 1"/>
    <w:basedOn w:val="Normal"/>
    <w:link w:val="Heading1Char"/>
    <w:uiPriority w:val="9"/>
    <w:qFormat/>
    <w:rsid w:val="00F576F3"/>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F576F3"/>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F576F3"/>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F576F3"/>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6F3"/>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F576F3"/>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F576F3"/>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F576F3"/>
    <w:rPr>
      <w:rFonts w:ascii="Tahoma" w:hAnsi="Tahoma" w:cs="Tahoma"/>
      <w:b/>
      <w:bCs/>
      <w:color w:val="FFFFFF"/>
      <w:sz w:val="18"/>
      <w:szCs w:val="18"/>
      <w:lang w:eastAsia="en-GB"/>
    </w:rPr>
  </w:style>
  <w:style w:type="paragraph" w:styleId="NormalWeb">
    <w:name w:val="Normal (Web)"/>
    <w:basedOn w:val="Normal"/>
    <w:uiPriority w:val="99"/>
    <w:semiHidden/>
    <w:unhideWhenUsed/>
    <w:rsid w:val="00F576F3"/>
    <w:pPr>
      <w:spacing w:before="100" w:beforeAutospacing="1" w:after="100" w:afterAutospacing="1"/>
    </w:pPr>
  </w:style>
  <w:style w:type="character" w:styleId="Strong">
    <w:name w:val="Strong"/>
    <w:basedOn w:val="DefaultParagraphFont"/>
    <w:uiPriority w:val="22"/>
    <w:qFormat/>
    <w:rsid w:val="00F576F3"/>
    <w:rPr>
      <w:b/>
      <w:bCs/>
    </w:rPr>
  </w:style>
  <w:style w:type="character" w:styleId="Hyperlink">
    <w:name w:val="Hyperlink"/>
    <w:basedOn w:val="DefaultParagraphFont"/>
    <w:uiPriority w:val="99"/>
    <w:semiHidden/>
    <w:unhideWhenUsed/>
    <w:rsid w:val="00F576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86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3eba79e1e&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f283cd176b&amp;e=d19e9fd41c" TargetMode="External"/><Relationship Id="rId26" Type="http://schemas.openxmlformats.org/officeDocument/2006/relationships/image" Target="https://psnc.us7.list-manage.com/track/open.php?u=86d41ab7fa4c7c2c5d7210782&amp;id=58c182cd42&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4e897f8ab8&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1c7d0f796&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4ddc8e8972&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990d70e358&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783feea944&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d32c806c46&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2021-12-16T09:09:00Z</dcterms:created>
  <dcterms:modified xsi:type="dcterms:W3CDTF">2021-12-16T09:13:00Z</dcterms:modified>
</cp:coreProperties>
</file>