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0C0F13" w14:paraId="01EAD50E" w14:textId="77777777" w:rsidTr="000C0F13">
        <w:trPr>
          <w:tblCellSpacing w:w="0" w:type="dxa"/>
          <w:jc w:val="center"/>
        </w:trPr>
        <w:tc>
          <w:tcPr>
            <w:tcW w:w="0" w:type="auto"/>
            <w:shd w:val="clear" w:color="auto" w:fill="FFFFFF"/>
          </w:tcPr>
          <w:tbl>
            <w:tblPr>
              <w:tblW w:w="9026" w:type="dxa"/>
              <w:jc w:val="center"/>
              <w:tblCellSpacing w:w="0" w:type="dxa"/>
              <w:shd w:val="clear" w:color="auto" w:fill="4E3487"/>
              <w:tblCellMar>
                <w:left w:w="0" w:type="dxa"/>
                <w:right w:w="0" w:type="dxa"/>
              </w:tblCellMar>
              <w:tblLook w:val="04A0" w:firstRow="1" w:lastRow="0" w:firstColumn="1" w:lastColumn="0" w:noHBand="0" w:noVBand="1"/>
            </w:tblPr>
            <w:tblGrid>
              <w:gridCol w:w="9000"/>
              <w:gridCol w:w="26"/>
            </w:tblGrid>
            <w:tr w:rsidR="000C0F13" w14:paraId="3432B87C" w14:textId="77777777" w:rsidTr="000C0F13">
              <w:trPr>
                <w:gridAfter w:val="1"/>
                <w:wAfter w:w="26" w:type="dxa"/>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0C0F13" w14:paraId="21726E88" w14:textId="77777777">
                    <w:trPr>
                      <w:tblCellSpacing w:w="0" w:type="dxa"/>
                      <w:jc w:val="center"/>
                    </w:trPr>
                    <w:tc>
                      <w:tcPr>
                        <w:tcW w:w="3000" w:type="dxa"/>
                        <w:hideMark/>
                      </w:tcPr>
                      <w:p w14:paraId="61B2BFBC" w14:textId="77297984" w:rsidR="000C0F13" w:rsidRDefault="000C0F13">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3E072C13" w14:textId="77777777" w:rsidR="000C0F13" w:rsidRDefault="000C0F13">
                  <w:pPr>
                    <w:jc w:val="center"/>
                    <w:rPr>
                      <w:rFonts w:ascii="Times New Roman" w:eastAsia="Times New Roman" w:hAnsi="Times New Roman" w:cs="Times New Roman"/>
                      <w:sz w:val="20"/>
                      <w:szCs w:val="20"/>
                    </w:rPr>
                  </w:pPr>
                </w:p>
              </w:tc>
            </w:tr>
            <w:tr w:rsidR="000C0F13" w14:paraId="7F7A1A0E" w14:textId="77777777" w:rsidTr="000C0F13">
              <w:tblPrEx>
                <w:shd w:val="clear" w:color="auto" w:fill="auto"/>
              </w:tblPrEx>
              <w:trPr>
                <w:tblCellSpacing w:w="0" w:type="dxa"/>
                <w:jc w:val="center"/>
              </w:trPr>
              <w:tc>
                <w:tcPr>
                  <w:tcW w:w="0" w:type="auto"/>
                  <w:gridSpan w:val="2"/>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0C0F13" w14:paraId="0F09CFAD"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5225CBD7" w14:textId="49692E50" w:rsidR="000C0F13" w:rsidRDefault="000C0F13">
                        <w:pPr>
                          <w:jc w:val="center"/>
                          <w:rPr>
                            <w:rFonts w:eastAsia="Times New Roman"/>
                          </w:rPr>
                        </w:pPr>
                        <w:r>
                          <w:rPr>
                            <w:rFonts w:eastAsia="Times New Roman"/>
                            <w:noProof/>
                          </w:rPr>
                          <w:drawing>
                            <wp:inline distT="0" distB="0" distL="0" distR="0" wp14:anchorId="2B6DD63C" wp14:editId="59A5D1A9">
                              <wp:extent cx="938530" cy="673735"/>
                              <wp:effectExtent l="0" t="0" r="13970" b="1206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8530" cy="673735"/>
                                      </a:xfrm>
                                      <a:prstGeom prst="rect">
                                        <a:avLst/>
                                      </a:prstGeom>
                                      <a:noFill/>
                                      <a:ln>
                                        <a:noFill/>
                                      </a:ln>
                                    </pic:spPr>
                                  </pic:pic>
                                </a:graphicData>
                              </a:graphic>
                            </wp:inline>
                          </w:drawing>
                        </w:r>
                      </w:p>
                    </w:tc>
                  </w:tr>
                  <w:tr w:rsidR="000C0F13" w14:paraId="24000CE2" w14:textId="77777777">
                    <w:trPr>
                      <w:tblCellSpacing w:w="0" w:type="dxa"/>
                    </w:trPr>
                    <w:tc>
                      <w:tcPr>
                        <w:tcW w:w="0" w:type="auto"/>
                        <w:vMerge/>
                        <w:tcBorders>
                          <w:top w:val="nil"/>
                          <w:left w:val="nil"/>
                          <w:bottom w:val="single" w:sz="2" w:space="0" w:color="FFFFFF"/>
                          <w:right w:val="nil"/>
                        </w:tcBorders>
                        <w:vAlign w:val="center"/>
                        <w:hideMark/>
                      </w:tcPr>
                      <w:p w14:paraId="0670C7CA" w14:textId="77777777" w:rsidR="000C0F13" w:rsidRDefault="000C0F13">
                        <w:pPr>
                          <w:rPr>
                            <w:rFonts w:eastAsia="Times New Roman"/>
                          </w:rPr>
                        </w:pPr>
                      </w:p>
                    </w:tc>
                    <w:tc>
                      <w:tcPr>
                        <w:tcW w:w="3450" w:type="dxa"/>
                        <w:tcBorders>
                          <w:top w:val="nil"/>
                          <w:left w:val="nil"/>
                          <w:bottom w:val="nil"/>
                          <w:right w:val="nil"/>
                        </w:tcBorders>
                        <w:vAlign w:val="center"/>
                        <w:hideMark/>
                      </w:tcPr>
                      <w:p w14:paraId="2FAD3CBE" w14:textId="77777777" w:rsidR="000C0F13" w:rsidRDefault="000C0F13">
                        <w:pPr>
                          <w:pStyle w:val="Heading1"/>
                          <w:rPr>
                            <w:rFonts w:eastAsia="Times New Roman"/>
                          </w:rPr>
                        </w:pPr>
                        <w:r>
                          <w:rPr>
                            <w:rFonts w:eastAsia="Times New Roman"/>
                          </w:rPr>
                          <w:t>PSNC Newsletter</w:t>
                        </w:r>
                      </w:p>
                    </w:tc>
                  </w:tr>
                  <w:tr w:rsidR="000C0F13" w14:paraId="56E64D40" w14:textId="77777777">
                    <w:trPr>
                      <w:tblCellSpacing w:w="0" w:type="dxa"/>
                    </w:trPr>
                    <w:tc>
                      <w:tcPr>
                        <w:tcW w:w="0" w:type="auto"/>
                        <w:vMerge/>
                        <w:tcBorders>
                          <w:top w:val="nil"/>
                          <w:left w:val="nil"/>
                          <w:bottom w:val="single" w:sz="2" w:space="0" w:color="FFFFFF"/>
                          <w:right w:val="nil"/>
                        </w:tcBorders>
                        <w:vAlign w:val="center"/>
                        <w:hideMark/>
                      </w:tcPr>
                      <w:p w14:paraId="30FAF4FF" w14:textId="77777777" w:rsidR="000C0F13" w:rsidRDefault="000C0F13">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2695ABA3" w14:textId="77777777" w:rsidR="000C0F13" w:rsidRDefault="000C0F13">
                        <w:pPr>
                          <w:pStyle w:val="Heading2"/>
                          <w:rPr>
                            <w:rFonts w:eastAsia="Times New Roman"/>
                            <w:color w:val="93378A"/>
                          </w:rPr>
                        </w:pPr>
                        <w:r>
                          <w:rPr>
                            <w:rFonts w:eastAsia="Times New Roman"/>
                            <w:color w:val="93378A"/>
                          </w:rPr>
                          <w:t>Monday 13th December 2021</w:t>
                        </w:r>
                      </w:p>
                    </w:tc>
                  </w:tr>
                </w:tbl>
                <w:p w14:paraId="5C2E8390" w14:textId="77777777" w:rsidR="000C0F13" w:rsidRDefault="000C0F13">
                  <w:pPr>
                    <w:rPr>
                      <w:rFonts w:ascii="Times New Roman" w:eastAsia="Times New Roman" w:hAnsi="Times New Roman" w:cs="Times New Roman"/>
                      <w:sz w:val="20"/>
                      <w:szCs w:val="20"/>
                    </w:rPr>
                  </w:pPr>
                </w:p>
              </w:tc>
            </w:tr>
            <w:tr w:rsidR="000C0F13" w14:paraId="4C46CB10" w14:textId="77777777" w:rsidTr="000C0F13">
              <w:tblPrEx>
                <w:shd w:val="clear" w:color="auto" w:fill="auto"/>
              </w:tblPrEx>
              <w:trPr>
                <w:tblCellSpacing w:w="0" w:type="dxa"/>
                <w:jc w:val="center"/>
              </w:trPr>
              <w:tc>
                <w:tcPr>
                  <w:tcW w:w="9026" w:type="dxa"/>
                  <w:gridSpan w:val="2"/>
                  <w:hideMark/>
                </w:tcPr>
                <w:p w14:paraId="0A4676C3" w14:textId="4151566C" w:rsidR="000C0F13" w:rsidRDefault="000C0F13">
                  <w:pPr>
                    <w:rPr>
                      <w:rFonts w:eastAsia="Times New Roman"/>
                    </w:rPr>
                  </w:pPr>
                  <w:r>
                    <w:rPr>
                      <w:rFonts w:eastAsia="Times New Roman"/>
                      <w:noProof/>
                    </w:rPr>
                    <w:drawing>
                      <wp:inline distT="0" distB="0" distL="0" distR="0" wp14:anchorId="2FC08F1F" wp14:editId="3FC34596">
                        <wp:extent cx="5727065" cy="216535"/>
                        <wp:effectExtent l="0" t="0" r="6985" b="120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27065" cy="216535"/>
                                </a:xfrm>
                                <a:prstGeom prst="rect">
                                  <a:avLst/>
                                </a:prstGeom>
                                <a:noFill/>
                                <a:ln>
                                  <a:noFill/>
                                </a:ln>
                              </pic:spPr>
                            </pic:pic>
                          </a:graphicData>
                        </a:graphic>
                      </wp:inline>
                    </w:drawing>
                  </w:r>
                </w:p>
              </w:tc>
            </w:tr>
            <w:tr w:rsidR="000C0F13" w14:paraId="55CE0AE8" w14:textId="77777777" w:rsidTr="000C0F13">
              <w:tblPrEx>
                <w:shd w:val="clear" w:color="auto" w:fill="auto"/>
              </w:tblPrEx>
              <w:trPr>
                <w:tblCellSpacing w:w="0" w:type="dxa"/>
                <w:jc w:val="center"/>
              </w:trPr>
              <w:tc>
                <w:tcPr>
                  <w:tcW w:w="9026" w:type="dxa"/>
                  <w:gridSpan w:val="2"/>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0C0F13" w14:paraId="2E6E7B85" w14:textId="77777777">
                    <w:trPr>
                      <w:trHeight w:val="150"/>
                      <w:tblCellSpacing w:w="15" w:type="dxa"/>
                      <w:jc w:val="center"/>
                    </w:trPr>
                    <w:tc>
                      <w:tcPr>
                        <w:tcW w:w="150" w:type="dxa"/>
                        <w:vAlign w:val="center"/>
                        <w:hideMark/>
                      </w:tcPr>
                      <w:p w14:paraId="52E915CE" w14:textId="77777777" w:rsidR="000C0F13" w:rsidRDefault="000C0F13">
                        <w:pPr>
                          <w:rPr>
                            <w:rFonts w:eastAsia="Times New Roman"/>
                          </w:rPr>
                        </w:pPr>
                      </w:p>
                    </w:tc>
                    <w:tc>
                      <w:tcPr>
                        <w:tcW w:w="8700" w:type="dxa"/>
                        <w:vAlign w:val="center"/>
                        <w:hideMark/>
                      </w:tcPr>
                      <w:p w14:paraId="52F65661" w14:textId="77777777" w:rsidR="000C0F13" w:rsidRDefault="000C0F13">
                        <w:pPr>
                          <w:rPr>
                            <w:rFonts w:ascii="Times New Roman" w:eastAsia="Times New Roman" w:hAnsi="Times New Roman" w:cs="Times New Roman"/>
                            <w:sz w:val="20"/>
                            <w:szCs w:val="20"/>
                          </w:rPr>
                        </w:pPr>
                      </w:p>
                    </w:tc>
                    <w:tc>
                      <w:tcPr>
                        <w:tcW w:w="150" w:type="dxa"/>
                        <w:vAlign w:val="center"/>
                        <w:hideMark/>
                      </w:tcPr>
                      <w:p w14:paraId="4F5C9936" w14:textId="77777777" w:rsidR="000C0F13" w:rsidRDefault="000C0F13">
                        <w:pPr>
                          <w:rPr>
                            <w:rFonts w:ascii="Times New Roman" w:eastAsia="Times New Roman" w:hAnsi="Times New Roman" w:cs="Times New Roman"/>
                            <w:sz w:val="20"/>
                            <w:szCs w:val="20"/>
                          </w:rPr>
                        </w:pPr>
                      </w:p>
                    </w:tc>
                  </w:tr>
                  <w:tr w:rsidR="000C0F13" w14:paraId="1476BE3A" w14:textId="77777777">
                    <w:trPr>
                      <w:tblCellSpacing w:w="15" w:type="dxa"/>
                      <w:jc w:val="center"/>
                    </w:trPr>
                    <w:tc>
                      <w:tcPr>
                        <w:tcW w:w="150" w:type="dxa"/>
                        <w:vAlign w:val="center"/>
                        <w:hideMark/>
                      </w:tcPr>
                      <w:p w14:paraId="5F855B0E" w14:textId="77777777" w:rsidR="000C0F13" w:rsidRDefault="000C0F13">
                        <w:pPr>
                          <w:rPr>
                            <w:rFonts w:ascii="Times New Roman" w:eastAsia="Times New Roman" w:hAnsi="Times New Roman" w:cs="Times New Roman"/>
                            <w:sz w:val="20"/>
                            <w:szCs w:val="20"/>
                          </w:rPr>
                        </w:pPr>
                      </w:p>
                    </w:tc>
                    <w:tc>
                      <w:tcPr>
                        <w:tcW w:w="8700" w:type="dxa"/>
                        <w:vAlign w:val="center"/>
                        <w:hideMark/>
                      </w:tcPr>
                      <w:p w14:paraId="1A031BB4" w14:textId="77777777" w:rsidR="000C0F13" w:rsidRDefault="000C0F13" w:rsidP="000C0F1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044A8649" w14:textId="77777777" w:rsidR="000C0F13" w:rsidRDefault="000C0F13" w:rsidP="000C0F1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93F58C7">
                            <v:rect id="_x0000_i1032" style="width:468pt;height:1.5pt" o:hrstd="t" o:hr="t" fillcolor="#a0a0a0" stroked="f"/>
                          </w:pict>
                        </w:r>
                      </w:p>
                      <w:p w14:paraId="3A0E5358" w14:textId="77777777" w:rsidR="000C0F13" w:rsidRDefault="000C0F13" w:rsidP="000C0F13">
                        <w:pPr>
                          <w:pStyle w:val="Heading2"/>
                          <w:rPr>
                            <w:rFonts w:eastAsia="Times New Roman"/>
                          </w:rPr>
                        </w:pPr>
                        <w:r>
                          <w:rPr>
                            <w:rFonts w:eastAsia="Times New Roman"/>
                          </w:rPr>
                          <w:t xml:space="preserve">In this update: Discussions </w:t>
                        </w:r>
                        <w:proofErr w:type="gramStart"/>
                        <w:r>
                          <w:rPr>
                            <w:rFonts w:eastAsia="Times New Roman"/>
                          </w:rPr>
                          <w:t>continue on</w:t>
                        </w:r>
                        <w:proofErr w:type="gramEnd"/>
                        <w:r>
                          <w:rPr>
                            <w:rFonts w:eastAsia="Times New Roman"/>
                          </w:rPr>
                          <w:t xml:space="preserve"> pharmacy pressures; LFD demand; DMS digital guide published.</w:t>
                        </w:r>
                      </w:p>
                      <w:p w14:paraId="52A032FB" w14:textId="77777777" w:rsidR="000C0F13" w:rsidRDefault="000C0F13" w:rsidP="000C0F1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E3D8CD4">
                            <v:rect id="_x0000_i1033" style="width:468pt;height:1.5pt" o:hrstd="t" o:hr="t" fillcolor="#a0a0a0" stroked="f"/>
                          </w:pict>
                        </w:r>
                      </w:p>
                      <w:p w14:paraId="66D0A31E" w14:textId="77777777" w:rsidR="000C0F13" w:rsidRDefault="000C0F13" w:rsidP="000C0F13">
                        <w:pPr>
                          <w:pStyle w:val="Heading3"/>
                          <w:rPr>
                            <w:rFonts w:eastAsia="Times New Roman"/>
                          </w:rPr>
                        </w:pPr>
                        <w:r>
                          <w:rPr>
                            <w:rFonts w:eastAsia="Times New Roman"/>
                          </w:rPr>
                          <w:t>Urgent discussions on pharmacy pressures continue</w:t>
                        </w:r>
                      </w:p>
                      <w:p w14:paraId="6D0EB13A" w14:textId="26B73CFD" w:rsidR="000C0F13" w:rsidRDefault="000C0F13" w:rsidP="000C0F1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Urgent discussions between PSNC and NHS England and NHS Improvement (NHSE&amp;I) on how to ease the current pressures on pharmacies are ongoing, following the Prime Minister’s announcement of a significant upscaling of the COVID-19 booster campaign.  </w:t>
                        </w:r>
                      </w:p>
                      <w:p w14:paraId="67B1FD85" w14:textId="77777777" w:rsidR="000C0F13" w:rsidRDefault="000C0F13" w:rsidP="000C0F13">
                        <w:pPr>
                          <w:pStyle w:val="NormalWeb"/>
                          <w:spacing w:line="264" w:lineRule="auto"/>
                          <w:rPr>
                            <w:rFonts w:ascii="Tahoma" w:hAnsi="Tahoma" w:cs="Tahoma"/>
                            <w:color w:val="303030"/>
                            <w:sz w:val="21"/>
                            <w:szCs w:val="21"/>
                          </w:rPr>
                        </w:pPr>
                        <w:r>
                          <w:rPr>
                            <w:rFonts w:ascii="Tahoma" w:hAnsi="Tahoma" w:cs="Tahoma"/>
                            <w:color w:val="303030"/>
                            <w:sz w:val="21"/>
                            <w:szCs w:val="21"/>
                          </w:rPr>
                          <w:t>Last week PSNC advised contractors that it was </w:t>
                        </w:r>
                        <w:hyperlink r:id="rId8" w:tgtFrame="_blank" w:history="1">
                          <w:r>
                            <w:rPr>
                              <w:rStyle w:val="Hyperlink"/>
                              <w:rFonts w:ascii="Tahoma" w:hAnsi="Tahoma" w:cs="Tahoma"/>
                              <w:b/>
                              <w:bCs/>
                              <w:color w:val="4E3487"/>
                              <w:sz w:val="21"/>
                              <w:szCs w:val="21"/>
                            </w:rPr>
                            <w:t>seeking additional support to ease the pressure on all contractors,</w:t>
                          </w:r>
                        </w:hyperlink>
                        <w:r>
                          <w:rPr>
                            <w:rFonts w:ascii="Tahoma" w:hAnsi="Tahoma" w:cs="Tahoma"/>
                            <w:color w:val="303030"/>
                            <w:sz w:val="21"/>
                            <w:szCs w:val="21"/>
                          </w:rPr>
                          <w:t> including those offering COVID-19 vaccinations. This could include through regulatory support, the removal of administrative burdens and changes to the current Pharmacy Quality Scheme (PQS).  </w:t>
                        </w:r>
                        <w:r>
                          <w:rPr>
                            <w:rFonts w:ascii="Tahoma" w:hAnsi="Tahoma" w:cs="Tahoma"/>
                            <w:color w:val="303030"/>
                            <w:sz w:val="21"/>
                            <w:szCs w:val="21"/>
                          </w:rPr>
                          <w:br/>
                        </w:r>
                        <w:r>
                          <w:rPr>
                            <w:rFonts w:ascii="Tahoma" w:hAnsi="Tahoma" w:cs="Tahoma"/>
                            <w:color w:val="303030"/>
                            <w:sz w:val="21"/>
                            <w:szCs w:val="21"/>
                          </w:rPr>
                          <w:br/>
                          <w:t>Throughout these discussions PSNC is also continuing to highlight the need for pharmacy to be funded fairly for the increasing levels of advice they are offering to ‘walk-in’ patients.</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Find out more</w:t>
                          </w:r>
                        </w:hyperlink>
                      </w:p>
                      <w:p w14:paraId="3257D679" w14:textId="77777777" w:rsidR="000C0F13" w:rsidRDefault="000C0F13" w:rsidP="000C0F1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A50863E">
                            <v:rect id="_x0000_i1034" style="width:468pt;height:1.5pt" o:hrstd="t" o:hr="t" fillcolor="#a0a0a0" stroked="f"/>
                          </w:pict>
                        </w:r>
                      </w:p>
                      <w:p w14:paraId="6ECB9CCC" w14:textId="77777777" w:rsidR="000C0F13" w:rsidRDefault="000C0F13" w:rsidP="000C0F13">
                        <w:pPr>
                          <w:pStyle w:val="Heading3"/>
                          <w:rPr>
                            <w:rFonts w:eastAsia="Times New Roman"/>
                          </w:rPr>
                        </w:pPr>
                        <w:r>
                          <w:rPr>
                            <w:rFonts w:eastAsia="Times New Roman"/>
                          </w:rPr>
                          <w:t>Lateral Flow Test demand </w:t>
                        </w:r>
                      </w:p>
                      <w:p w14:paraId="144B2AD5" w14:textId="5EAB6D48" w:rsidR="000C0F13" w:rsidRDefault="000C0F13" w:rsidP="00D6018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Contractors are likely to have witnessed a significant increase in demand for Lateral Flow Devices (LFDs) following the Prime Minister’s address to the nation, and </w:t>
                        </w:r>
                        <w:proofErr w:type="gramStart"/>
                        <w:r>
                          <w:rPr>
                            <w:rFonts w:ascii="Tahoma" w:eastAsia="Times New Roman" w:hAnsi="Tahoma" w:cs="Tahoma"/>
                            <w:color w:val="303030"/>
                            <w:sz w:val="21"/>
                            <w:szCs w:val="21"/>
                          </w:rPr>
                          <w:t>as a result of</w:t>
                        </w:r>
                        <w:proofErr w:type="gramEnd"/>
                        <w:r>
                          <w:rPr>
                            <w:rFonts w:ascii="Tahoma" w:eastAsia="Times New Roman" w:hAnsi="Tahoma" w:cs="Tahoma"/>
                            <w:color w:val="303030"/>
                            <w:sz w:val="21"/>
                            <w:szCs w:val="21"/>
                          </w:rPr>
                          <w:t xml:space="preserve"> the national media widely reporting problems with ordering home delivery of tests from the NHS website today.   </w:t>
                        </w:r>
                      </w:p>
                      <w:p w14:paraId="22B6F670" w14:textId="77777777" w:rsidR="000C0F13" w:rsidRDefault="000C0F13" w:rsidP="00D6018D">
                        <w:pPr>
                          <w:pStyle w:val="NormalWeb"/>
                          <w:spacing w:line="264" w:lineRule="auto"/>
                          <w:rPr>
                            <w:rFonts w:ascii="Tahoma" w:hAnsi="Tahoma" w:cs="Tahoma"/>
                            <w:color w:val="303030"/>
                            <w:sz w:val="21"/>
                            <w:szCs w:val="21"/>
                          </w:rPr>
                        </w:pPr>
                        <w:r>
                          <w:rPr>
                            <w:rFonts w:ascii="Tahoma" w:hAnsi="Tahoma" w:cs="Tahoma"/>
                            <w:color w:val="303030"/>
                            <w:sz w:val="21"/>
                            <w:szCs w:val="21"/>
                          </w:rPr>
                          <w:t>We have been advised by NHS Test and Trace that stock is still available to pharmacies via Alliance Healthcare and that contractors should continue to order one carton of test kits per day (the current tests are ‘DHSC ORIENT GENE test kits’ PIP: 8943995). Sometimes, those seeking test kits may not have a Collect code. However, it is important that these people can still access tests via the anonymous supply route.</w:t>
                        </w:r>
                      </w:p>
                      <w:p w14:paraId="6018DDFC" w14:textId="718C5169" w:rsidR="000C0F13" w:rsidRDefault="000C0F13" w:rsidP="000C0F13">
                        <w:pPr>
                          <w:spacing w:line="264" w:lineRule="auto"/>
                          <w:rPr>
                            <w:rFonts w:ascii="Tahoma" w:eastAsia="Times New Roman" w:hAnsi="Tahoma" w:cs="Tahoma"/>
                            <w:color w:val="303030"/>
                            <w:sz w:val="21"/>
                            <w:szCs w:val="21"/>
                          </w:rPr>
                        </w:pPr>
                        <w:hyperlink r:id="rId10" w:tgtFrame="_blank" w:history="1">
                          <w:r>
                            <w:rPr>
                              <w:rStyle w:val="Hyperlink"/>
                              <w:rFonts w:ascii="Tahoma" w:eastAsia="Times New Roman" w:hAnsi="Tahoma" w:cs="Tahoma"/>
                              <w:b/>
                              <w:bCs/>
                              <w:color w:val="4E3487"/>
                              <w:sz w:val="21"/>
                              <w:szCs w:val="21"/>
                            </w:rPr>
                            <w:t>Learn more about the COVID-19 LFD distribution service</w:t>
                          </w:r>
                        </w:hyperlink>
                        <w:r>
                          <w:rPr>
                            <w:rFonts w:ascii="Tahoma" w:eastAsia="Times New Roman" w:hAnsi="Tahoma" w:cs="Tahoma"/>
                            <w:color w:val="303030"/>
                            <w:sz w:val="21"/>
                            <w:szCs w:val="21"/>
                          </w:rPr>
                          <w:t xml:space="preserve"> </w:t>
                        </w:r>
                      </w:p>
                      <w:p w14:paraId="2F1C2108" w14:textId="652BFB5B" w:rsidR="00D6018D" w:rsidRDefault="00D6018D" w:rsidP="000C0F13">
                        <w:pPr>
                          <w:spacing w:line="264" w:lineRule="auto"/>
                          <w:rPr>
                            <w:color w:val="303030"/>
                            <w:sz w:val="21"/>
                            <w:szCs w:val="21"/>
                          </w:rPr>
                        </w:pPr>
                      </w:p>
                      <w:p w14:paraId="6356CEE3" w14:textId="77777777" w:rsidR="00D6018D" w:rsidRDefault="00D6018D" w:rsidP="000C0F13">
                        <w:pPr>
                          <w:spacing w:line="264" w:lineRule="auto"/>
                          <w:rPr>
                            <w:rFonts w:ascii="Tahoma" w:eastAsia="Times New Roman" w:hAnsi="Tahoma" w:cs="Tahoma"/>
                            <w:color w:val="303030"/>
                            <w:sz w:val="21"/>
                            <w:szCs w:val="21"/>
                          </w:rPr>
                        </w:pPr>
                      </w:p>
                      <w:p w14:paraId="3508E856" w14:textId="77777777" w:rsidR="000C0F13" w:rsidRDefault="000C0F13" w:rsidP="000C0F1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E3AE192">
                            <v:rect id="_x0000_i1035" style="width:468pt;height:1.5pt" o:hrstd="t" o:hr="t" fillcolor="#a0a0a0" stroked="f"/>
                          </w:pict>
                        </w:r>
                      </w:p>
                      <w:p w14:paraId="31C5F247" w14:textId="77777777" w:rsidR="000C0F13" w:rsidRDefault="000C0F13" w:rsidP="000C0F13">
                        <w:pPr>
                          <w:pStyle w:val="Heading3"/>
                          <w:rPr>
                            <w:rFonts w:eastAsia="Times New Roman"/>
                          </w:rPr>
                        </w:pPr>
                        <w:r>
                          <w:rPr>
                            <w:rFonts w:eastAsia="Times New Roman"/>
                          </w:rPr>
                          <w:lastRenderedPageBreak/>
                          <w:t>DMS digital guide published</w:t>
                        </w:r>
                      </w:p>
                      <w:p w14:paraId="11EC48C4" w14:textId="1F3A371A" w:rsidR="000C0F13" w:rsidRDefault="000C0F13" w:rsidP="000C0F1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 has published a digital guide to the Discharge Medicines Service (DMS) for community pharmacy contractors. The half-hour guide provides some background on the service and an overview of the service requirements.</w:t>
                        </w:r>
                        <w:r>
                          <w:rPr>
                            <w:rFonts w:ascii="Tahoma" w:eastAsia="Times New Roman" w:hAnsi="Tahoma" w:cs="Tahoma"/>
                            <w:color w:val="303030"/>
                            <w:sz w:val="21"/>
                            <w:szCs w:val="21"/>
                          </w:rPr>
                          <w:br/>
                        </w:r>
                        <w:r>
                          <w:rPr>
                            <w:rFonts w:ascii="Tahoma" w:eastAsia="Times New Roman" w:hAnsi="Tahoma" w:cs="Tahoma"/>
                            <w:color w:val="303030"/>
                            <w:sz w:val="21"/>
                            <w:szCs w:val="21"/>
                          </w:rPr>
                          <w:br/>
                          <w:t>The guide offers busy contractors, pharmacists and pharmacy technicians an alternative way to ensure they are aware of what is required to provide the service and complements the other information and guidance available on PSNC's </w:t>
                        </w:r>
                        <w:hyperlink r:id="rId11" w:tgtFrame="_blank" w:history="1">
                          <w:r>
                            <w:rPr>
                              <w:rStyle w:val="Hyperlink"/>
                              <w:rFonts w:ascii="Tahoma" w:eastAsia="Times New Roman" w:hAnsi="Tahoma" w:cs="Tahoma"/>
                              <w:b/>
                              <w:bCs/>
                              <w:color w:val="4E3487"/>
                              <w:sz w:val="21"/>
                              <w:szCs w:val="21"/>
                            </w:rPr>
                            <w:t>DMS webpage</w:t>
                          </w:r>
                        </w:hyperlink>
                        <w:r>
                          <w:rPr>
                            <w:rFonts w:ascii="Tahoma" w:eastAsia="Times New Roman" w:hAnsi="Tahoma" w:cs="Tahoma"/>
                            <w:color w:val="303030"/>
                            <w:sz w:val="21"/>
                            <w:szCs w:val="21"/>
                          </w:rPr>
                          <w:t xml:space="preserve">. </w:t>
                        </w:r>
                      </w:p>
                      <w:p w14:paraId="30B038CF" w14:textId="77777777" w:rsidR="000C0F13" w:rsidRDefault="000C0F13" w:rsidP="000C0F13">
                        <w:pPr>
                          <w:pStyle w:val="NormalWeb"/>
                          <w:spacing w:line="264" w:lineRule="auto"/>
                          <w:rPr>
                            <w:rFonts w:ascii="Tahoma" w:hAnsi="Tahoma" w:cs="Tahoma"/>
                            <w:color w:val="303030"/>
                            <w:sz w:val="21"/>
                            <w:szCs w:val="21"/>
                          </w:rPr>
                        </w:pPr>
                        <w:hyperlink r:id="rId12" w:tgtFrame="_blank" w:history="1">
                          <w:r>
                            <w:rPr>
                              <w:rStyle w:val="Hyperlink"/>
                              <w:rFonts w:ascii="Tahoma" w:hAnsi="Tahoma" w:cs="Tahoma"/>
                              <w:b/>
                              <w:bCs/>
                              <w:color w:val="4E3487"/>
                              <w:sz w:val="21"/>
                              <w:szCs w:val="21"/>
                            </w:rPr>
                            <w:t>Watch the digital guide</w:t>
                          </w:r>
                        </w:hyperlink>
                      </w:p>
                    </w:tc>
                    <w:tc>
                      <w:tcPr>
                        <w:tcW w:w="150" w:type="dxa"/>
                        <w:vAlign w:val="center"/>
                        <w:hideMark/>
                      </w:tcPr>
                      <w:p w14:paraId="73801A1D" w14:textId="77777777" w:rsidR="000C0F13" w:rsidRDefault="000C0F13">
                        <w:pPr>
                          <w:rPr>
                            <w:rFonts w:ascii="Tahoma" w:hAnsi="Tahoma" w:cs="Tahoma"/>
                            <w:color w:val="303030"/>
                            <w:sz w:val="21"/>
                            <w:szCs w:val="21"/>
                          </w:rPr>
                        </w:pPr>
                      </w:p>
                    </w:tc>
                  </w:tr>
                  <w:tr w:rsidR="000C0F13" w14:paraId="3C155F60" w14:textId="77777777">
                    <w:trPr>
                      <w:trHeight w:val="150"/>
                      <w:tblCellSpacing w:w="15" w:type="dxa"/>
                      <w:jc w:val="center"/>
                    </w:trPr>
                    <w:tc>
                      <w:tcPr>
                        <w:tcW w:w="150" w:type="dxa"/>
                        <w:vAlign w:val="center"/>
                        <w:hideMark/>
                      </w:tcPr>
                      <w:p w14:paraId="2A6C7BEE" w14:textId="77777777" w:rsidR="000C0F13" w:rsidRDefault="000C0F13">
                        <w:pPr>
                          <w:rPr>
                            <w:rFonts w:ascii="Times New Roman" w:eastAsia="Times New Roman" w:hAnsi="Times New Roman" w:cs="Times New Roman"/>
                            <w:sz w:val="20"/>
                            <w:szCs w:val="20"/>
                          </w:rPr>
                        </w:pPr>
                      </w:p>
                    </w:tc>
                    <w:tc>
                      <w:tcPr>
                        <w:tcW w:w="8700" w:type="dxa"/>
                        <w:vAlign w:val="center"/>
                        <w:hideMark/>
                      </w:tcPr>
                      <w:p w14:paraId="1EDB3088" w14:textId="77777777" w:rsidR="000C0F13" w:rsidRDefault="000C0F13" w:rsidP="000C0F13">
                        <w:pPr>
                          <w:rPr>
                            <w:rFonts w:ascii="Times New Roman" w:eastAsia="Times New Roman" w:hAnsi="Times New Roman" w:cs="Times New Roman"/>
                            <w:sz w:val="20"/>
                            <w:szCs w:val="20"/>
                          </w:rPr>
                        </w:pPr>
                      </w:p>
                    </w:tc>
                    <w:tc>
                      <w:tcPr>
                        <w:tcW w:w="150" w:type="dxa"/>
                        <w:vAlign w:val="center"/>
                        <w:hideMark/>
                      </w:tcPr>
                      <w:p w14:paraId="59E1876E" w14:textId="77777777" w:rsidR="000C0F13" w:rsidRDefault="000C0F13">
                        <w:pPr>
                          <w:rPr>
                            <w:rFonts w:ascii="Times New Roman" w:eastAsia="Times New Roman" w:hAnsi="Times New Roman" w:cs="Times New Roman"/>
                            <w:sz w:val="20"/>
                            <w:szCs w:val="20"/>
                          </w:rPr>
                        </w:pPr>
                      </w:p>
                    </w:tc>
                  </w:tr>
                </w:tbl>
                <w:p w14:paraId="1AF8CC9B" w14:textId="77777777" w:rsidR="000C0F13" w:rsidRDefault="000C0F13">
                  <w:pPr>
                    <w:jc w:val="center"/>
                    <w:rPr>
                      <w:rFonts w:ascii="Times New Roman" w:eastAsia="Times New Roman" w:hAnsi="Times New Roman" w:cs="Times New Roman"/>
                      <w:sz w:val="20"/>
                      <w:szCs w:val="20"/>
                    </w:rPr>
                  </w:pPr>
                </w:p>
              </w:tc>
            </w:tr>
          </w:tbl>
          <w:p w14:paraId="5C8553C0" w14:textId="77777777" w:rsidR="000C0F13" w:rsidRDefault="000C0F13">
            <w:pPr>
              <w:jc w:val="center"/>
              <w:rPr>
                <w:rFonts w:ascii="Times New Roman" w:eastAsia="Times New Roman" w:hAnsi="Times New Roman" w:cs="Times New Roman"/>
                <w:sz w:val="20"/>
                <w:szCs w:val="20"/>
              </w:rPr>
            </w:pPr>
          </w:p>
        </w:tc>
      </w:tr>
      <w:tr w:rsidR="000C0F13" w14:paraId="79DF1BF4" w14:textId="77777777" w:rsidTr="000C0F13">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0C0F13" w14:paraId="1AF8606E"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0C0F13" w14:paraId="6FFC077C" w14:textId="77777777">
                    <w:trPr>
                      <w:tblCellSpacing w:w="0" w:type="dxa"/>
                      <w:jc w:val="center"/>
                    </w:trPr>
                    <w:tc>
                      <w:tcPr>
                        <w:tcW w:w="3000" w:type="dxa"/>
                        <w:tcMar>
                          <w:top w:w="30" w:type="dxa"/>
                          <w:left w:w="75" w:type="dxa"/>
                          <w:bottom w:w="30" w:type="dxa"/>
                          <w:right w:w="75" w:type="dxa"/>
                        </w:tcMar>
                        <w:hideMark/>
                      </w:tcPr>
                      <w:p w14:paraId="28FC2792" w14:textId="77777777" w:rsidR="000C0F13" w:rsidRDefault="000C0F13">
                        <w:pPr>
                          <w:pStyle w:val="Heading4"/>
                          <w:jc w:val="center"/>
                          <w:rPr>
                            <w:rFonts w:eastAsia="Times New Roman"/>
                          </w:rPr>
                        </w:pPr>
                        <w:r>
                          <w:rPr>
                            <w:rFonts w:eastAsia="Times New Roman"/>
                          </w:rPr>
                          <w:lastRenderedPageBreak/>
                          <w:t>Pharmaceutical Services Negotiating Committee</w:t>
                        </w:r>
                      </w:p>
                      <w:p w14:paraId="6C86C955" w14:textId="78FCFD3A" w:rsidR="000C0F13" w:rsidRDefault="000C0F13">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3EC915B" wp14:editId="55C17045">
                              <wp:extent cx="601345" cy="313055"/>
                              <wp:effectExtent l="0" t="0" r="8255" b="10795"/>
                              <wp:docPr id="5" name="Picture 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1345" cy="313055"/>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5911884" wp14:editId="29A26A53">
                              <wp:extent cx="601345" cy="313055"/>
                              <wp:effectExtent l="0" t="0" r="8255" b="10795"/>
                              <wp:docPr id="4" name="Picture 4">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1345" cy="313055"/>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A664C3A" wp14:editId="482B3C84">
                              <wp:extent cx="601345" cy="313055"/>
                              <wp:effectExtent l="0" t="0" r="8255" b="10795"/>
                              <wp:docPr id="3" name="Picture 3">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1345" cy="313055"/>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18749D3" wp14:editId="288EC875">
                              <wp:extent cx="601345" cy="313055"/>
                              <wp:effectExtent l="0" t="0" r="8255" b="10795"/>
                              <wp:docPr id="2" name="Picture 2" descr="Graphical user interface&#10;&#10;Description automatically generated">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2" tgtFrame="_blank"/>
                                      </pic:cNvPr>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1345" cy="313055"/>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09E6A2B1" w14:textId="77777777" w:rsidR="000C0F13" w:rsidRDefault="000C0F13">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5"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0C0F13" w14:paraId="5CB72933" w14:textId="77777777" w:rsidTr="000C0F13">
                    <w:trPr>
                      <w:trHeight w:val="21"/>
                      <w:tblCellSpacing w:w="0" w:type="dxa"/>
                      <w:jc w:val="center"/>
                    </w:trPr>
                    <w:tc>
                      <w:tcPr>
                        <w:tcW w:w="9000" w:type="dxa"/>
                        <w:tcMar>
                          <w:top w:w="150" w:type="dxa"/>
                          <w:left w:w="0" w:type="dxa"/>
                          <w:bottom w:w="0" w:type="dxa"/>
                          <w:right w:w="0" w:type="dxa"/>
                        </w:tcMar>
                        <w:vAlign w:val="center"/>
                        <w:hideMark/>
                      </w:tcPr>
                      <w:p w14:paraId="32B8202D" w14:textId="0362F311" w:rsidR="000C0F13" w:rsidRDefault="000C0F13" w:rsidP="000C0F13">
                        <w:pPr>
                          <w:rPr>
                            <w:rFonts w:ascii="Arial" w:eastAsia="Times New Roman" w:hAnsi="Arial" w:cs="Arial"/>
                            <w:color w:val="FFFFFF"/>
                            <w:sz w:val="17"/>
                            <w:szCs w:val="17"/>
                          </w:rPr>
                        </w:pPr>
                      </w:p>
                    </w:tc>
                  </w:tr>
                </w:tbl>
                <w:p w14:paraId="79B474F9" w14:textId="77777777" w:rsidR="000C0F13" w:rsidRDefault="000C0F13">
                  <w:pPr>
                    <w:jc w:val="center"/>
                    <w:rPr>
                      <w:rFonts w:ascii="Times New Roman" w:eastAsia="Times New Roman" w:hAnsi="Times New Roman" w:cs="Times New Roman"/>
                      <w:sz w:val="20"/>
                      <w:szCs w:val="20"/>
                    </w:rPr>
                  </w:pPr>
                </w:p>
              </w:tc>
            </w:tr>
          </w:tbl>
          <w:p w14:paraId="45982C0F" w14:textId="77777777" w:rsidR="000C0F13" w:rsidRDefault="000C0F13">
            <w:pPr>
              <w:jc w:val="center"/>
              <w:rPr>
                <w:rFonts w:ascii="Times New Roman" w:eastAsia="Times New Roman" w:hAnsi="Times New Roman" w:cs="Times New Roman"/>
                <w:sz w:val="20"/>
                <w:szCs w:val="20"/>
              </w:rPr>
            </w:pPr>
          </w:p>
        </w:tc>
      </w:tr>
    </w:tbl>
    <w:p w14:paraId="7F405E0B" w14:textId="2F7E31CB" w:rsidR="000C0F13" w:rsidRDefault="000C0F13" w:rsidP="000C0F13">
      <w:pPr>
        <w:rPr>
          <w:rFonts w:eastAsia="Times New Roman"/>
        </w:rPr>
      </w:pPr>
      <w:r>
        <w:rPr>
          <w:rFonts w:eastAsia="Times New Roman"/>
          <w:noProof/>
        </w:rPr>
        <w:drawing>
          <wp:inline distT="0" distB="0" distL="0" distR="0" wp14:anchorId="7E280E1F" wp14:editId="63F0FF47">
            <wp:extent cx="24130" cy="24130"/>
            <wp:effectExtent l="0" t="0" r="13970" b="139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24130" cy="24130"/>
                    </a:xfrm>
                    <a:prstGeom prst="rect">
                      <a:avLst/>
                    </a:prstGeom>
                    <a:noFill/>
                    <a:ln>
                      <a:noFill/>
                    </a:ln>
                  </pic:spPr>
                </pic:pic>
              </a:graphicData>
            </a:graphic>
          </wp:inline>
        </w:drawing>
      </w:r>
    </w:p>
    <w:p w14:paraId="05A7BB80"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F13"/>
    <w:rsid w:val="000C0F13"/>
    <w:rsid w:val="00D6018D"/>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18BC2"/>
  <w15:chartTrackingRefBased/>
  <w15:docId w15:val="{232F2E79-60BF-40EA-ABAC-346633BB3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F13"/>
    <w:rPr>
      <w:rFonts w:ascii="Calibri" w:hAnsi="Calibri" w:cs="Calibri"/>
      <w:lang w:eastAsia="en-GB"/>
    </w:rPr>
  </w:style>
  <w:style w:type="paragraph" w:styleId="Heading1">
    <w:name w:val="heading 1"/>
    <w:basedOn w:val="Normal"/>
    <w:link w:val="Heading1Char"/>
    <w:uiPriority w:val="9"/>
    <w:qFormat/>
    <w:rsid w:val="000C0F13"/>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0C0F13"/>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0C0F13"/>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0C0F13"/>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F13"/>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0C0F13"/>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0C0F13"/>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0C0F13"/>
    <w:rPr>
      <w:rFonts w:ascii="Tahoma" w:hAnsi="Tahoma" w:cs="Tahoma"/>
      <w:b/>
      <w:bCs/>
      <w:color w:val="FFFFFF"/>
      <w:sz w:val="18"/>
      <w:szCs w:val="18"/>
      <w:lang w:eastAsia="en-GB"/>
    </w:rPr>
  </w:style>
  <w:style w:type="paragraph" w:styleId="NormalWeb">
    <w:name w:val="Normal (Web)"/>
    <w:basedOn w:val="Normal"/>
    <w:uiPriority w:val="99"/>
    <w:semiHidden/>
    <w:unhideWhenUsed/>
    <w:rsid w:val="000C0F13"/>
    <w:pPr>
      <w:spacing w:before="100" w:beforeAutospacing="1" w:after="100" w:afterAutospacing="1"/>
    </w:pPr>
  </w:style>
  <w:style w:type="character" w:styleId="Strong">
    <w:name w:val="Strong"/>
    <w:basedOn w:val="DefaultParagraphFont"/>
    <w:uiPriority w:val="22"/>
    <w:qFormat/>
    <w:rsid w:val="000C0F13"/>
    <w:rPr>
      <w:b/>
      <w:bCs/>
    </w:rPr>
  </w:style>
  <w:style w:type="character" w:styleId="Hyperlink">
    <w:name w:val="Hyperlink"/>
    <w:basedOn w:val="DefaultParagraphFont"/>
    <w:uiPriority w:val="99"/>
    <w:semiHidden/>
    <w:unhideWhenUsed/>
    <w:rsid w:val="000C0F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09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d31c698785&amp;e=d19e9fd41c" TargetMode="External"/><Relationship Id="rId13" Type="http://schemas.openxmlformats.org/officeDocument/2006/relationships/hyperlink" Target="https://psnc.us7.list-manage.com/track/click?u=86d41ab7fa4c7c2c5d7210782&amp;id=99645e9de4&amp;e=d19e9fd41c" TargetMode="External"/><Relationship Id="rId18" Type="http://schemas.openxmlformats.org/officeDocument/2006/relationships/image" Target="https://gallery.mailchimp.com/86d41ab7fa4c7c2c5d7210782/images/e1475f6b-1081-4509-ab25-9cd7f83d26b2.png" TargetMode="External"/><Relationship Id="rId26" Type="http://schemas.openxmlformats.org/officeDocument/2006/relationships/image" Target="media/image7.gif"/><Relationship Id="rId3" Type="http://schemas.openxmlformats.org/officeDocument/2006/relationships/webSettings" Target="webSettings.xml"/><Relationship Id="rId21" Type="http://schemas.openxmlformats.org/officeDocument/2006/relationships/image" Target="https://gallery.mailchimp.com/86d41ab7fa4c7c2c5d7210782/images/cd088afd-0ac0-4498-8ed1-e4199bf882ce.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74c84cd63f&amp;e=d19e9fd41c" TargetMode="External"/><Relationship Id="rId17" Type="http://schemas.openxmlformats.org/officeDocument/2006/relationships/image" Target="media/image4.png"/><Relationship Id="rId25" Type="http://schemas.openxmlformats.org/officeDocument/2006/relationships/hyperlink" Target="mailto:info@psnc.org.uk"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e64d0436d7&amp;e=d19e9fd41c"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52e052fafb&amp;e=d19e9fd41c" TargetMode="External"/><Relationship Id="rId24" Type="http://schemas.openxmlformats.org/officeDocument/2006/relationships/image" Target="https://gallery.mailchimp.com/86d41ab7fa4c7c2c5d7210782/images/f5c0845f-f39c-425d-8d3c-deff11493c50.png"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https://gallery.mailchimp.com/86d41ab7fa4c7c2c5d7210782/images/5acd9cf1-bdba-4039-b74f-638b444ff5d8.png"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s://psnc.us7.list-manage.com/track/click?u=86d41ab7fa4c7c2c5d7210782&amp;id=4ba89a465f&amp;e=d19e9fd41c" TargetMode="External"/><Relationship Id="rId19" Type="http://schemas.openxmlformats.org/officeDocument/2006/relationships/hyperlink" Target="https://psnc.us7.list-manage.com/track/click?u=86d41ab7fa4c7c2c5d7210782&amp;id=a7feaf8976&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e3cc135192&amp;e=d19e9fd41c" TargetMode="External"/><Relationship Id="rId14" Type="http://schemas.openxmlformats.org/officeDocument/2006/relationships/image" Target="media/image3.png"/><Relationship Id="rId22" Type="http://schemas.openxmlformats.org/officeDocument/2006/relationships/hyperlink" Target="https://psnc.us7.list-manage.com/track/click?u=86d41ab7fa4c7c2c5d7210782&amp;id=7097c9b872&amp;e=d19e9fd41c" TargetMode="External"/><Relationship Id="rId27" Type="http://schemas.openxmlformats.org/officeDocument/2006/relationships/image" Target="https://psnc.us7.list-manage.com/track/open.php?u=86d41ab7fa4c7c2c5d7210782&amp;id=cdd3074607&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2021-12-14T08:20:00Z</dcterms:created>
  <dcterms:modified xsi:type="dcterms:W3CDTF">2021-12-14T08:37:00Z</dcterms:modified>
</cp:coreProperties>
</file>