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30D55" w14:paraId="4C3A7448" w14:textId="77777777" w:rsidTr="00030D5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30D55" w14:paraId="4E85CB0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30D55" w14:paraId="13A8BBC7" w14:textId="77777777">
                    <w:trPr>
                      <w:tblCellSpacing w:w="0" w:type="dxa"/>
                      <w:jc w:val="center"/>
                    </w:trPr>
                    <w:tc>
                      <w:tcPr>
                        <w:tcW w:w="3000" w:type="dxa"/>
                        <w:hideMark/>
                      </w:tcPr>
                      <w:p w14:paraId="46285098" w14:textId="5E4A455C" w:rsidR="00030D55" w:rsidRDefault="00030D5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B386BA1" w14:textId="77777777" w:rsidR="00030D55" w:rsidRDefault="00030D55">
                  <w:pPr>
                    <w:jc w:val="center"/>
                    <w:rPr>
                      <w:rFonts w:ascii="Times New Roman" w:eastAsia="Times New Roman" w:hAnsi="Times New Roman" w:cs="Times New Roman"/>
                      <w:sz w:val="20"/>
                      <w:szCs w:val="20"/>
                    </w:rPr>
                  </w:pPr>
                </w:p>
              </w:tc>
            </w:tr>
            <w:tr w:rsidR="00030D55" w14:paraId="6631987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30D55" w14:paraId="0AE043A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18232B6" w14:textId="3FE33A90" w:rsidR="00030D55" w:rsidRDefault="00030D55">
                        <w:pPr>
                          <w:jc w:val="center"/>
                          <w:rPr>
                            <w:rFonts w:eastAsia="Times New Roman"/>
                          </w:rPr>
                        </w:pPr>
                        <w:r>
                          <w:rPr>
                            <w:rFonts w:eastAsia="Times New Roman"/>
                            <w:noProof/>
                          </w:rPr>
                          <w:drawing>
                            <wp:inline distT="0" distB="0" distL="0" distR="0" wp14:anchorId="0C16DAF5" wp14:editId="71CC263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30D55" w14:paraId="223AC45B" w14:textId="77777777">
                    <w:trPr>
                      <w:tblCellSpacing w:w="0" w:type="dxa"/>
                    </w:trPr>
                    <w:tc>
                      <w:tcPr>
                        <w:tcW w:w="0" w:type="auto"/>
                        <w:vMerge/>
                        <w:tcBorders>
                          <w:top w:val="nil"/>
                          <w:left w:val="nil"/>
                          <w:bottom w:val="single" w:sz="2" w:space="0" w:color="FFFFFF"/>
                          <w:right w:val="nil"/>
                        </w:tcBorders>
                        <w:vAlign w:val="center"/>
                        <w:hideMark/>
                      </w:tcPr>
                      <w:p w14:paraId="5890988A" w14:textId="77777777" w:rsidR="00030D55" w:rsidRDefault="00030D55">
                        <w:pPr>
                          <w:rPr>
                            <w:rFonts w:eastAsia="Times New Roman"/>
                          </w:rPr>
                        </w:pPr>
                      </w:p>
                    </w:tc>
                    <w:tc>
                      <w:tcPr>
                        <w:tcW w:w="3450" w:type="dxa"/>
                        <w:tcBorders>
                          <w:top w:val="nil"/>
                          <w:left w:val="nil"/>
                          <w:bottom w:val="nil"/>
                          <w:right w:val="nil"/>
                        </w:tcBorders>
                        <w:vAlign w:val="center"/>
                        <w:hideMark/>
                      </w:tcPr>
                      <w:p w14:paraId="3E38C06C" w14:textId="77777777" w:rsidR="00030D55" w:rsidRDefault="00030D55">
                        <w:pPr>
                          <w:pStyle w:val="Heading1"/>
                          <w:rPr>
                            <w:rFonts w:eastAsia="Times New Roman"/>
                          </w:rPr>
                        </w:pPr>
                        <w:r>
                          <w:rPr>
                            <w:rFonts w:eastAsia="Times New Roman"/>
                          </w:rPr>
                          <w:t>PSNC Newsletter</w:t>
                        </w:r>
                      </w:p>
                    </w:tc>
                  </w:tr>
                  <w:tr w:rsidR="00030D55" w14:paraId="3D4B4433" w14:textId="77777777">
                    <w:trPr>
                      <w:tblCellSpacing w:w="0" w:type="dxa"/>
                    </w:trPr>
                    <w:tc>
                      <w:tcPr>
                        <w:tcW w:w="0" w:type="auto"/>
                        <w:vMerge/>
                        <w:tcBorders>
                          <w:top w:val="nil"/>
                          <w:left w:val="nil"/>
                          <w:bottom w:val="single" w:sz="2" w:space="0" w:color="FFFFFF"/>
                          <w:right w:val="nil"/>
                        </w:tcBorders>
                        <w:vAlign w:val="center"/>
                        <w:hideMark/>
                      </w:tcPr>
                      <w:p w14:paraId="438B97B9" w14:textId="77777777" w:rsidR="00030D55" w:rsidRDefault="00030D5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D4864AE" w14:textId="77777777" w:rsidR="00030D55" w:rsidRDefault="00030D55">
                        <w:pPr>
                          <w:pStyle w:val="Heading2"/>
                          <w:rPr>
                            <w:rFonts w:eastAsia="Times New Roman"/>
                            <w:color w:val="93378A"/>
                          </w:rPr>
                        </w:pPr>
                        <w:r>
                          <w:rPr>
                            <w:rFonts w:eastAsia="Times New Roman"/>
                            <w:color w:val="93378A"/>
                          </w:rPr>
                          <w:t>Wednesday 8th December 2021</w:t>
                        </w:r>
                      </w:p>
                    </w:tc>
                  </w:tr>
                </w:tbl>
                <w:p w14:paraId="0B841BF7" w14:textId="77777777" w:rsidR="00030D55" w:rsidRDefault="00030D55">
                  <w:pPr>
                    <w:rPr>
                      <w:rFonts w:ascii="Times New Roman" w:eastAsia="Times New Roman" w:hAnsi="Times New Roman" w:cs="Times New Roman"/>
                      <w:sz w:val="20"/>
                      <w:szCs w:val="20"/>
                    </w:rPr>
                  </w:pPr>
                </w:p>
              </w:tc>
            </w:tr>
            <w:tr w:rsidR="00030D55" w14:paraId="6873FACF" w14:textId="77777777">
              <w:tblPrEx>
                <w:shd w:val="clear" w:color="auto" w:fill="auto"/>
              </w:tblPrEx>
              <w:trPr>
                <w:tblCellSpacing w:w="0" w:type="dxa"/>
                <w:jc w:val="center"/>
              </w:trPr>
              <w:tc>
                <w:tcPr>
                  <w:tcW w:w="9000" w:type="dxa"/>
                  <w:hideMark/>
                </w:tcPr>
                <w:p w14:paraId="17B3D15F" w14:textId="52478AF4" w:rsidR="00030D55" w:rsidRDefault="00030D55">
                  <w:pPr>
                    <w:rPr>
                      <w:rFonts w:eastAsia="Times New Roman"/>
                    </w:rPr>
                  </w:pPr>
                  <w:r>
                    <w:rPr>
                      <w:rFonts w:eastAsia="Times New Roman"/>
                      <w:noProof/>
                    </w:rPr>
                    <w:drawing>
                      <wp:inline distT="0" distB="0" distL="0" distR="0" wp14:anchorId="63DAA2C6" wp14:editId="3EF82F9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30D55" w14:paraId="1270A08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030D55" w14:paraId="2904591C" w14:textId="77777777">
                    <w:trPr>
                      <w:trHeight w:val="150"/>
                      <w:tblCellSpacing w:w="15" w:type="dxa"/>
                      <w:jc w:val="center"/>
                    </w:trPr>
                    <w:tc>
                      <w:tcPr>
                        <w:tcW w:w="150" w:type="dxa"/>
                        <w:vAlign w:val="center"/>
                        <w:hideMark/>
                      </w:tcPr>
                      <w:p w14:paraId="4469B41C" w14:textId="77777777" w:rsidR="00030D55" w:rsidRDefault="00030D55">
                        <w:pPr>
                          <w:rPr>
                            <w:rFonts w:eastAsia="Times New Roman"/>
                          </w:rPr>
                        </w:pPr>
                      </w:p>
                    </w:tc>
                    <w:tc>
                      <w:tcPr>
                        <w:tcW w:w="8700" w:type="dxa"/>
                        <w:vAlign w:val="center"/>
                        <w:hideMark/>
                      </w:tcPr>
                      <w:p w14:paraId="262F7901" w14:textId="77777777" w:rsidR="00030D55" w:rsidRDefault="00030D55">
                        <w:pPr>
                          <w:rPr>
                            <w:rFonts w:ascii="Times New Roman" w:eastAsia="Times New Roman" w:hAnsi="Times New Roman" w:cs="Times New Roman"/>
                            <w:sz w:val="20"/>
                            <w:szCs w:val="20"/>
                          </w:rPr>
                        </w:pPr>
                      </w:p>
                    </w:tc>
                    <w:tc>
                      <w:tcPr>
                        <w:tcW w:w="150" w:type="dxa"/>
                        <w:vAlign w:val="center"/>
                        <w:hideMark/>
                      </w:tcPr>
                      <w:p w14:paraId="0641E53F" w14:textId="77777777" w:rsidR="00030D55" w:rsidRDefault="00030D55">
                        <w:pPr>
                          <w:rPr>
                            <w:rFonts w:ascii="Times New Roman" w:eastAsia="Times New Roman" w:hAnsi="Times New Roman" w:cs="Times New Roman"/>
                            <w:sz w:val="20"/>
                            <w:szCs w:val="20"/>
                          </w:rPr>
                        </w:pPr>
                      </w:p>
                    </w:tc>
                  </w:tr>
                  <w:tr w:rsidR="00030D55" w14:paraId="2AAE49BD" w14:textId="77777777">
                    <w:trPr>
                      <w:tblCellSpacing w:w="15" w:type="dxa"/>
                      <w:jc w:val="center"/>
                    </w:trPr>
                    <w:tc>
                      <w:tcPr>
                        <w:tcW w:w="150" w:type="dxa"/>
                        <w:vAlign w:val="center"/>
                        <w:hideMark/>
                      </w:tcPr>
                      <w:p w14:paraId="26DB5BFE" w14:textId="77777777" w:rsidR="00030D55" w:rsidRDefault="00030D55">
                        <w:pPr>
                          <w:rPr>
                            <w:rFonts w:ascii="Times New Roman" w:eastAsia="Times New Roman" w:hAnsi="Times New Roman" w:cs="Times New Roman"/>
                            <w:sz w:val="20"/>
                            <w:szCs w:val="20"/>
                          </w:rPr>
                        </w:pPr>
                      </w:p>
                    </w:tc>
                    <w:tc>
                      <w:tcPr>
                        <w:tcW w:w="8700" w:type="dxa"/>
                        <w:vAlign w:val="center"/>
                        <w:hideMark/>
                      </w:tcPr>
                      <w:p w14:paraId="4864EA6D" w14:textId="77777777" w:rsidR="00030D55" w:rsidRDefault="00030D5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282388E" w14:textId="77777777" w:rsidR="00030D55" w:rsidRDefault="00030D5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5A3617E">
                            <v:rect id="_x0000_i1032" style="width:468pt;height:1.5pt" o:hralign="center" o:hrstd="t" o:hr="t" fillcolor="#a0a0a0" stroked="f"/>
                          </w:pict>
                        </w:r>
                      </w:p>
                      <w:p w14:paraId="38C07B13" w14:textId="77777777" w:rsidR="00030D55" w:rsidRDefault="00030D55">
                        <w:pPr>
                          <w:pStyle w:val="Heading2"/>
                          <w:rPr>
                            <w:rFonts w:eastAsia="Times New Roman"/>
                          </w:rPr>
                        </w:pPr>
                        <w:r>
                          <w:rPr>
                            <w:rFonts w:eastAsia="Times New Roman"/>
                          </w:rPr>
                          <w:t>In this update: December Policy Team blog; mandatory face coverings reminder; December Drug Tariff Watch; promoting pharmacy during the pandemic.</w:t>
                        </w:r>
                      </w:p>
                      <w:p w14:paraId="4B3E596D" w14:textId="77777777" w:rsidR="00030D55" w:rsidRDefault="00030D5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7DFF743">
                            <v:rect id="_x0000_i1033" style="width:468pt;height:1.5pt" o:hralign="center" o:hrstd="t" o:hr="t" fillcolor="#a0a0a0" stroked="f"/>
                          </w:pict>
                        </w:r>
                      </w:p>
                      <w:p w14:paraId="31F9760D" w14:textId="77777777" w:rsidR="00030D55" w:rsidRDefault="00030D55" w:rsidP="00030D55">
                        <w:pPr>
                          <w:pStyle w:val="Heading3"/>
                          <w:spacing w:after="0" w:line="240" w:lineRule="auto"/>
                          <w:rPr>
                            <w:rFonts w:eastAsia="Times New Roman"/>
                          </w:rPr>
                        </w:pPr>
                        <w:r>
                          <w:rPr>
                            <w:rFonts w:eastAsia="Times New Roman"/>
                          </w:rPr>
                          <w:t>December Policy Team blog</w:t>
                        </w:r>
                      </w:p>
                      <w:p w14:paraId="4A32A731" w14:textId="5EA888BA"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t>In the latest PSNC Policy Team blog, Alastair Buxton, Director of NHS Services at PSNC reflects on the PSNC Committee meeting late last month and on the difficult situation facing contractors and community pharmacy teams currently. Alastair reaffirms PSNC's position that the sector needs further investment and help to free up capacity.</w:t>
                        </w:r>
                        <w:r>
                          <w:rPr>
                            <w:rFonts w:ascii="Tahoma" w:eastAsia="Times New Roman" w:hAnsi="Tahoma" w:cs="Tahoma"/>
                            <w:color w:val="303030"/>
                            <w:sz w:val="21"/>
                            <w:szCs w:val="21"/>
                          </w:rPr>
                          <w:br/>
                        </w:r>
                        <w:r>
                          <w:rPr>
                            <w:rFonts w:ascii="Tahoma" w:eastAsia="Times New Roman" w:hAnsi="Tahoma" w:cs="Tahoma"/>
                            <w:color w:val="303030"/>
                            <w:sz w:val="21"/>
                            <w:szCs w:val="21"/>
                          </w:rPr>
                          <w:br/>
                          <w:t>The blog also reflects on the important role that community pharmacies are playing in delivering COVID-19 vaccinations and more widely to support the booster campaign.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December Policy Team blog</w:t>
                          </w:r>
                        </w:hyperlink>
                        <w:r>
                          <w:rPr>
                            <w:rFonts w:ascii="Tahoma" w:eastAsia="Times New Roman" w:hAnsi="Tahoma" w:cs="Tahoma"/>
                            <w:color w:val="303030"/>
                            <w:sz w:val="21"/>
                            <w:szCs w:val="21"/>
                          </w:rPr>
                          <w:t xml:space="preserve"> </w:t>
                        </w:r>
                      </w:p>
                      <w:p w14:paraId="1444CDCF" w14:textId="77777777"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pict w14:anchorId="661DB308">
                            <v:rect id="_x0000_i1034" style="width:468pt;height:1.5pt" o:hrstd="t" o:hr="t" fillcolor="#a0a0a0" stroked="f"/>
                          </w:pict>
                        </w:r>
                      </w:p>
                      <w:p w14:paraId="2E982ADC" w14:textId="77777777" w:rsidR="00030D55" w:rsidRDefault="00030D55" w:rsidP="00030D55">
                        <w:pPr>
                          <w:pStyle w:val="Heading3"/>
                          <w:spacing w:after="0" w:line="240" w:lineRule="auto"/>
                          <w:rPr>
                            <w:rFonts w:eastAsia="Times New Roman"/>
                          </w:rPr>
                        </w:pPr>
                        <w:r>
                          <w:rPr>
                            <w:rFonts w:eastAsia="Times New Roman"/>
                          </w:rPr>
                          <w:t>Face coverings mandatory again in community pharmacy</w:t>
                        </w:r>
                      </w:p>
                      <w:p w14:paraId="1EB0F74A" w14:textId="02923438"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t>Following changes to regulations last week and the extension of measures as outlined in tonight's Number 10 press briefing, pharmacy teams are reminded that the wearing of face coverings in shops, including community pharmacies, is once again mandatory in England.</w:t>
                        </w:r>
                        <w:r>
                          <w:rPr>
                            <w:rFonts w:ascii="Tahoma" w:eastAsia="Times New Roman" w:hAnsi="Tahoma" w:cs="Tahoma"/>
                            <w:color w:val="303030"/>
                            <w:sz w:val="21"/>
                            <w:szCs w:val="21"/>
                          </w:rPr>
                          <w:br/>
                        </w:r>
                        <w:r>
                          <w:rPr>
                            <w:rFonts w:ascii="Tahoma" w:eastAsia="Times New Roman" w:hAnsi="Tahoma" w:cs="Tahoma"/>
                            <w:color w:val="303030"/>
                            <w:sz w:val="21"/>
                            <w:szCs w:val="21"/>
                          </w:rPr>
                          <w:br/>
                          <w:t>Contractors can continue to order face masks and other personal protective equipment (PPE) free of charge from the Government’s PPE portal.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history="1">
                          <w:r>
                            <w:rPr>
                              <w:rStyle w:val="Hyperlink"/>
                              <w:rFonts w:ascii="Tahoma" w:eastAsia="Times New Roman" w:hAnsi="Tahoma" w:cs="Tahoma"/>
                              <w:b/>
                              <w:bCs/>
                              <w:color w:val="4E3487"/>
                              <w:sz w:val="21"/>
                              <w:szCs w:val="21"/>
                            </w:rPr>
                            <w:t>Learn how to order free PPE</w:t>
                          </w:r>
                        </w:hyperlink>
                        <w:r>
                          <w:rPr>
                            <w:rFonts w:ascii="Tahoma" w:eastAsia="Times New Roman" w:hAnsi="Tahoma" w:cs="Tahoma"/>
                            <w:color w:val="303030"/>
                            <w:sz w:val="21"/>
                            <w:szCs w:val="21"/>
                          </w:rPr>
                          <w:t xml:space="preserve"> </w:t>
                        </w:r>
                      </w:p>
                      <w:p w14:paraId="060BA2A9" w14:textId="77777777"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pict w14:anchorId="1C6A371D">
                            <v:rect id="_x0000_i1035" style="width:468pt;height:1.5pt" o:hrstd="t" o:hr="t" fillcolor="#a0a0a0" stroked="f"/>
                          </w:pict>
                        </w:r>
                      </w:p>
                      <w:p w14:paraId="076BD988" w14:textId="77777777" w:rsidR="00030D55" w:rsidRDefault="00030D55" w:rsidP="00030D55">
                        <w:pPr>
                          <w:pStyle w:val="Heading3"/>
                          <w:spacing w:after="0" w:line="240" w:lineRule="auto"/>
                          <w:rPr>
                            <w:rFonts w:eastAsia="Times New Roman"/>
                          </w:rPr>
                        </w:pPr>
                        <w:r>
                          <w:rPr>
                            <w:rFonts w:eastAsia="Times New Roman"/>
                          </w:rPr>
                          <w:t>Drug Tariff Watch - December 2021</w:t>
                        </w:r>
                      </w:p>
                      <w:p w14:paraId="4F84E95B" w14:textId="3DEA0A5B"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summary of the Drug Tariff changes for December 2021.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t>It is important to monitor the monthly changes to Part VIII and Part IX of the Drug Tariff as these can impact on reimbursement. For example, if a drug moves from Category C to Category A, certain claims such as Broken Bulk or out of pocket expenses may no longer be permitted, and any inaccurate or missing endorsements can lead to delayed payments.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View the December 2021 Drug Tariff Watch</w:t>
                          </w:r>
                        </w:hyperlink>
                        <w:r>
                          <w:rPr>
                            <w:rFonts w:ascii="Tahoma" w:eastAsia="Times New Roman" w:hAnsi="Tahoma" w:cs="Tahoma"/>
                            <w:color w:val="303030"/>
                            <w:sz w:val="21"/>
                            <w:szCs w:val="21"/>
                          </w:rPr>
                          <w:t xml:space="preserve"> </w:t>
                        </w:r>
                      </w:p>
                      <w:p w14:paraId="38F935AE" w14:textId="77777777"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pict w14:anchorId="31D11B05">
                            <v:rect id="_x0000_i1036" style="width:468pt;height:1.5pt" o:hrstd="t" o:hr="t" fillcolor="#a0a0a0" stroked="f"/>
                          </w:pict>
                        </w:r>
                      </w:p>
                      <w:p w14:paraId="4B8D2416" w14:textId="77777777" w:rsidR="00030D55" w:rsidRDefault="00030D55" w:rsidP="00030D55">
                        <w:pPr>
                          <w:pStyle w:val="Heading3"/>
                          <w:spacing w:after="0" w:line="240" w:lineRule="auto"/>
                          <w:rPr>
                            <w:rFonts w:eastAsia="Times New Roman"/>
                          </w:rPr>
                        </w:pPr>
                        <w:r>
                          <w:rPr>
                            <w:rFonts w:eastAsia="Times New Roman"/>
                          </w:rPr>
                          <w:t>2020/21: Promoting Pharmacy</w:t>
                        </w:r>
                      </w:p>
                      <w:p w14:paraId="00AE2B99" w14:textId="569C1FDF" w:rsidR="00030D55" w:rsidRDefault="00030D55" w:rsidP="00030D55">
                        <w:pPr>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A key aspect of PSNC's role is communicating with audiences outside of pharmacy – such as politicians, charities, and national media – to build support and gain advocates who can champion the sector on our behalf. </w:t>
                        </w:r>
                      </w:p>
                      <w:p w14:paraId="41D87656" w14:textId="77777777" w:rsidR="00030D55" w:rsidRDefault="00030D55" w:rsidP="00030D55">
                        <w:pPr>
                          <w:pStyle w:val="NormalWeb"/>
                          <w:spacing w:before="0" w:beforeAutospacing="0" w:after="0" w:afterAutospacing="0"/>
                          <w:rPr>
                            <w:rFonts w:ascii="Tahoma" w:hAnsi="Tahoma" w:cs="Tahoma"/>
                            <w:color w:val="303030"/>
                            <w:sz w:val="21"/>
                            <w:szCs w:val="21"/>
                          </w:rPr>
                        </w:pPr>
                      </w:p>
                      <w:p w14:paraId="34CB4AA0" w14:textId="3E7FA48C" w:rsidR="00030D55" w:rsidRDefault="00030D55" w:rsidP="00030D5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During 2020/21, PSNC conducted audits to calculate the value of the informal patient consultations that happen in community pharmacy, worked with the All-Party Parliamentary Group (APPG) for Pharmacy to launch an inquiry into the pressures of COVID-19 on the sector, and collaborated with other healthcare bodies to call for a national self-care strategy. You can learn more about PSNC’s work to promote pharmacy in our Annual Report.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See PSNC's annual report online</w:t>
                          </w:r>
                        </w:hyperlink>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Watch the annual report through video</w:t>
                          </w:r>
                        </w:hyperlink>
                      </w:p>
                    </w:tc>
                    <w:tc>
                      <w:tcPr>
                        <w:tcW w:w="150" w:type="dxa"/>
                        <w:vAlign w:val="center"/>
                        <w:hideMark/>
                      </w:tcPr>
                      <w:p w14:paraId="75FA9EE2" w14:textId="77777777" w:rsidR="00030D55" w:rsidRDefault="00030D55">
                        <w:pPr>
                          <w:rPr>
                            <w:rFonts w:ascii="Tahoma" w:hAnsi="Tahoma" w:cs="Tahoma"/>
                            <w:color w:val="303030"/>
                            <w:sz w:val="21"/>
                            <w:szCs w:val="21"/>
                          </w:rPr>
                        </w:pPr>
                      </w:p>
                    </w:tc>
                  </w:tr>
                  <w:tr w:rsidR="00030D55" w14:paraId="39089ABB" w14:textId="77777777">
                    <w:trPr>
                      <w:trHeight w:val="150"/>
                      <w:tblCellSpacing w:w="15" w:type="dxa"/>
                      <w:jc w:val="center"/>
                    </w:trPr>
                    <w:tc>
                      <w:tcPr>
                        <w:tcW w:w="150" w:type="dxa"/>
                        <w:vAlign w:val="center"/>
                        <w:hideMark/>
                      </w:tcPr>
                      <w:p w14:paraId="7B4F9CAA" w14:textId="77777777" w:rsidR="00030D55" w:rsidRDefault="00030D55">
                        <w:pPr>
                          <w:rPr>
                            <w:rFonts w:ascii="Times New Roman" w:eastAsia="Times New Roman" w:hAnsi="Times New Roman" w:cs="Times New Roman"/>
                            <w:sz w:val="20"/>
                            <w:szCs w:val="20"/>
                          </w:rPr>
                        </w:pPr>
                      </w:p>
                    </w:tc>
                    <w:tc>
                      <w:tcPr>
                        <w:tcW w:w="8700" w:type="dxa"/>
                        <w:vAlign w:val="center"/>
                        <w:hideMark/>
                      </w:tcPr>
                      <w:p w14:paraId="383A3120" w14:textId="77777777" w:rsidR="00030D55" w:rsidRDefault="00030D55">
                        <w:pPr>
                          <w:rPr>
                            <w:rFonts w:ascii="Times New Roman" w:eastAsia="Times New Roman" w:hAnsi="Times New Roman" w:cs="Times New Roman"/>
                            <w:sz w:val="20"/>
                            <w:szCs w:val="20"/>
                          </w:rPr>
                        </w:pPr>
                      </w:p>
                    </w:tc>
                    <w:tc>
                      <w:tcPr>
                        <w:tcW w:w="150" w:type="dxa"/>
                        <w:vAlign w:val="center"/>
                        <w:hideMark/>
                      </w:tcPr>
                      <w:p w14:paraId="2B7B6CC5" w14:textId="77777777" w:rsidR="00030D55" w:rsidRDefault="00030D55">
                        <w:pPr>
                          <w:rPr>
                            <w:rFonts w:ascii="Times New Roman" w:eastAsia="Times New Roman" w:hAnsi="Times New Roman" w:cs="Times New Roman"/>
                            <w:sz w:val="20"/>
                            <w:szCs w:val="20"/>
                          </w:rPr>
                        </w:pPr>
                      </w:p>
                    </w:tc>
                  </w:tr>
                </w:tbl>
                <w:p w14:paraId="1A24D79F" w14:textId="77777777" w:rsidR="00030D55" w:rsidRDefault="00030D55">
                  <w:pPr>
                    <w:jc w:val="center"/>
                    <w:rPr>
                      <w:rFonts w:ascii="Times New Roman" w:eastAsia="Times New Roman" w:hAnsi="Times New Roman" w:cs="Times New Roman"/>
                      <w:sz w:val="20"/>
                      <w:szCs w:val="20"/>
                    </w:rPr>
                  </w:pPr>
                </w:p>
              </w:tc>
            </w:tr>
          </w:tbl>
          <w:p w14:paraId="05CAB2CF" w14:textId="77777777" w:rsidR="00030D55" w:rsidRDefault="00030D55">
            <w:pPr>
              <w:jc w:val="center"/>
              <w:rPr>
                <w:rFonts w:ascii="Times New Roman" w:eastAsia="Times New Roman" w:hAnsi="Times New Roman" w:cs="Times New Roman"/>
                <w:sz w:val="20"/>
                <w:szCs w:val="20"/>
              </w:rPr>
            </w:pPr>
          </w:p>
        </w:tc>
      </w:tr>
      <w:tr w:rsidR="00030D55" w14:paraId="4A1AAF3D" w14:textId="77777777" w:rsidTr="00030D5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30D55" w14:paraId="4070BDB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30D55" w14:paraId="53782CA6" w14:textId="77777777" w:rsidTr="00030D55">
                    <w:trPr>
                      <w:tblCellSpacing w:w="0" w:type="dxa"/>
                      <w:jc w:val="center"/>
                    </w:trPr>
                    <w:tc>
                      <w:tcPr>
                        <w:tcW w:w="9000" w:type="dxa"/>
                        <w:tcMar>
                          <w:top w:w="30" w:type="dxa"/>
                          <w:left w:w="75" w:type="dxa"/>
                          <w:bottom w:w="30" w:type="dxa"/>
                          <w:right w:w="75" w:type="dxa"/>
                        </w:tcMar>
                        <w:hideMark/>
                      </w:tcPr>
                      <w:p w14:paraId="798BDA20" w14:textId="77777777" w:rsidR="00030D55" w:rsidRDefault="00030D55">
                        <w:pPr>
                          <w:pStyle w:val="Heading4"/>
                          <w:jc w:val="center"/>
                          <w:rPr>
                            <w:rFonts w:eastAsia="Times New Roman"/>
                          </w:rPr>
                        </w:pPr>
                        <w:r>
                          <w:rPr>
                            <w:rFonts w:eastAsia="Times New Roman"/>
                          </w:rPr>
                          <w:lastRenderedPageBreak/>
                          <w:t>Pharmaceutical Services Negotiating Committee</w:t>
                        </w:r>
                      </w:p>
                      <w:p w14:paraId="053BF404" w14:textId="37BFC878" w:rsidR="00030D55" w:rsidRDefault="00030D5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E064D3B" wp14:editId="7A0BF4EB">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CDB60A" wp14:editId="7A708982">
                              <wp:extent cx="609600" cy="304800"/>
                              <wp:effectExtent l="0" t="0" r="0" b="0"/>
                              <wp:docPr id="4" name="Picture 4" descr="Graphical user interface&#10;&#10;Description automatically generate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6" tgtFrame="_blank"/>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CD5CCB" wp14:editId="7F913429">
                              <wp:extent cx="609600" cy="304800"/>
                              <wp:effectExtent l="0" t="0" r="0" b="0"/>
                              <wp:docPr id="3" name="Picture 3"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96DDCAA" wp14:editId="30B5BC09">
                              <wp:extent cx="609600" cy="304800"/>
                              <wp:effectExtent l="0" t="0" r="0" b="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80CF0A1" w14:textId="77777777" w:rsidR="00030D55" w:rsidRDefault="00030D5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12116588" w14:textId="77777777" w:rsidR="00030D55" w:rsidRDefault="00030D55">
                  <w:pPr>
                    <w:jc w:val="center"/>
                    <w:rPr>
                      <w:rFonts w:ascii="Times New Roman" w:eastAsia="Times New Roman" w:hAnsi="Times New Roman" w:cs="Times New Roman"/>
                      <w:sz w:val="20"/>
                      <w:szCs w:val="20"/>
                    </w:rPr>
                  </w:pPr>
                </w:p>
              </w:tc>
            </w:tr>
          </w:tbl>
          <w:p w14:paraId="402AEEDF" w14:textId="77777777" w:rsidR="00030D55" w:rsidRDefault="00030D55">
            <w:pPr>
              <w:jc w:val="center"/>
              <w:rPr>
                <w:rFonts w:ascii="Times New Roman" w:eastAsia="Times New Roman" w:hAnsi="Times New Roman" w:cs="Times New Roman"/>
                <w:sz w:val="20"/>
                <w:szCs w:val="20"/>
              </w:rPr>
            </w:pPr>
          </w:p>
        </w:tc>
      </w:tr>
    </w:tbl>
    <w:p w14:paraId="7CC182E9" w14:textId="6C8AAFFF" w:rsidR="00030D55" w:rsidRDefault="00030D55" w:rsidP="00030D55">
      <w:pPr>
        <w:rPr>
          <w:rFonts w:eastAsia="Times New Roman"/>
        </w:rPr>
      </w:pPr>
      <w:r>
        <w:rPr>
          <w:rFonts w:eastAsia="Times New Roman"/>
          <w:noProof/>
        </w:rPr>
        <w:drawing>
          <wp:inline distT="0" distB="0" distL="0" distR="0" wp14:anchorId="06B76EF5" wp14:editId="7A215A1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2DFE6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55"/>
    <w:rsid w:val="00030D5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ECD2"/>
  <w15:chartTrackingRefBased/>
  <w15:docId w15:val="{7B0CAB58-3ABF-4AA0-8A48-85A2C6BF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55"/>
    <w:rPr>
      <w:rFonts w:ascii="Calibri" w:hAnsi="Calibri" w:cs="Calibri"/>
      <w:lang w:eastAsia="en-GB"/>
    </w:rPr>
  </w:style>
  <w:style w:type="paragraph" w:styleId="Heading1">
    <w:name w:val="heading 1"/>
    <w:basedOn w:val="Normal"/>
    <w:link w:val="Heading1Char"/>
    <w:uiPriority w:val="9"/>
    <w:qFormat/>
    <w:rsid w:val="00030D5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30D5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30D5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30D5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5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30D5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30D5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30D55"/>
    <w:rPr>
      <w:rFonts w:ascii="Tahoma" w:hAnsi="Tahoma" w:cs="Tahoma"/>
      <w:b/>
      <w:bCs/>
      <w:color w:val="FFFFFF"/>
      <w:sz w:val="18"/>
      <w:szCs w:val="18"/>
      <w:lang w:eastAsia="en-GB"/>
    </w:rPr>
  </w:style>
  <w:style w:type="paragraph" w:styleId="NormalWeb">
    <w:name w:val="Normal (Web)"/>
    <w:basedOn w:val="Normal"/>
    <w:uiPriority w:val="99"/>
    <w:semiHidden/>
    <w:unhideWhenUsed/>
    <w:rsid w:val="00030D55"/>
    <w:pPr>
      <w:spacing w:before="100" w:beforeAutospacing="1" w:after="100" w:afterAutospacing="1"/>
    </w:pPr>
  </w:style>
  <w:style w:type="character" w:styleId="Strong">
    <w:name w:val="Strong"/>
    <w:basedOn w:val="DefaultParagraphFont"/>
    <w:uiPriority w:val="22"/>
    <w:qFormat/>
    <w:rsid w:val="00030D55"/>
    <w:rPr>
      <w:b/>
      <w:bCs/>
    </w:rPr>
  </w:style>
  <w:style w:type="character" w:styleId="Hyperlink">
    <w:name w:val="Hyperlink"/>
    <w:basedOn w:val="DefaultParagraphFont"/>
    <w:uiPriority w:val="99"/>
    <w:semiHidden/>
    <w:unhideWhenUsed/>
    <w:rsid w:val="00030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2b995529c&amp;e=d19e9fd41c" TargetMode="External"/><Relationship Id="rId13" Type="http://schemas.openxmlformats.org/officeDocument/2006/relationships/hyperlink" Target="https://psnc.us7.list-manage.com/track/click?u=86d41ab7fa4c7c2c5d7210782&amp;id=4c3fa043e8&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0cc7591c9&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1cd2cfe6a3&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2b39d86e6&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14c16c5ea6&amp;e=d19e9fd41c" TargetMode="External"/><Relationship Id="rId19" Type="http://schemas.openxmlformats.org/officeDocument/2006/relationships/hyperlink" Target="https://psnc.us7.list-manage.com/track/click?u=86d41ab7fa4c7c2c5d7210782&amp;id=412d3c764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c87092af4&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719a860cc4&amp;e=d19e9fd41c" TargetMode="External"/><Relationship Id="rId27" Type="http://schemas.openxmlformats.org/officeDocument/2006/relationships/image" Target="https://psnc.us7.list-manage.com/track/open.php?u=86d41ab7fa4c7c2c5d7210782&amp;id=0901a7d728&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2021-12-09T11:20:00Z</dcterms:created>
  <dcterms:modified xsi:type="dcterms:W3CDTF">2021-12-09T11:22:00Z</dcterms:modified>
</cp:coreProperties>
</file>