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853C75" w14:paraId="50917D35" w14:textId="77777777" w:rsidTr="00853C75">
        <w:trPr>
          <w:tblCellSpacing w:w="0" w:type="dxa"/>
          <w:jc w:val="center"/>
        </w:trPr>
        <w:tc>
          <w:tcPr>
            <w:tcW w:w="0" w:type="auto"/>
            <w:shd w:val="clear" w:color="auto" w:fill="FFFFFF"/>
          </w:tcPr>
          <w:tbl>
            <w:tblPr>
              <w:tblW w:w="9026" w:type="dxa"/>
              <w:jc w:val="center"/>
              <w:tblCellSpacing w:w="0" w:type="dxa"/>
              <w:shd w:val="clear" w:color="auto" w:fill="4E3487"/>
              <w:tblCellMar>
                <w:left w:w="0" w:type="dxa"/>
                <w:right w:w="0" w:type="dxa"/>
              </w:tblCellMar>
              <w:tblLook w:val="04A0" w:firstRow="1" w:lastRow="0" w:firstColumn="1" w:lastColumn="0" w:noHBand="0" w:noVBand="1"/>
            </w:tblPr>
            <w:tblGrid>
              <w:gridCol w:w="9000"/>
              <w:gridCol w:w="26"/>
            </w:tblGrid>
            <w:tr w:rsidR="00853C75" w14:paraId="63A1EAB1" w14:textId="77777777" w:rsidTr="00853C75">
              <w:trPr>
                <w:gridAfter w:val="1"/>
                <w:wAfter w:w="26" w:type="dxa"/>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853C75" w14:paraId="27D58E8D" w14:textId="77777777">
                    <w:trPr>
                      <w:tblCellSpacing w:w="0" w:type="dxa"/>
                      <w:jc w:val="center"/>
                    </w:trPr>
                    <w:tc>
                      <w:tcPr>
                        <w:tcW w:w="3000" w:type="dxa"/>
                        <w:hideMark/>
                      </w:tcPr>
                      <w:p w14:paraId="70B69741" w14:textId="02F45346" w:rsidR="00853C75" w:rsidRDefault="00853C75">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46CA8D77" w14:textId="77777777" w:rsidR="00853C75" w:rsidRDefault="00853C75">
                  <w:pPr>
                    <w:jc w:val="center"/>
                    <w:rPr>
                      <w:rFonts w:ascii="Times New Roman" w:eastAsia="Times New Roman" w:hAnsi="Times New Roman" w:cs="Times New Roman"/>
                      <w:sz w:val="20"/>
                      <w:szCs w:val="20"/>
                    </w:rPr>
                  </w:pPr>
                </w:p>
              </w:tc>
            </w:tr>
            <w:tr w:rsidR="00853C75" w14:paraId="0668720F" w14:textId="77777777" w:rsidTr="00853C75">
              <w:tblPrEx>
                <w:shd w:val="clear" w:color="auto" w:fill="auto"/>
              </w:tblPrEx>
              <w:trPr>
                <w:tblCellSpacing w:w="0" w:type="dxa"/>
                <w:jc w:val="center"/>
              </w:trPr>
              <w:tc>
                <w:tcPr>
                  <w:tcW w:w="0" w:type="auto"/>
                  <w:gridSpan w:val="2"/>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853C75" w14:paraId="57E9CB0C"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2B57872E" w14:textId="26825455" w:rsidR="00853C75" w:rsidRDefault="00853C75">
                        <w:pPr>
                          <w:jc w:val="center"/>
                          <w:rPr>
                            <w:rFonts w:eastAsia="Times New Roman"/>
                          </w:rPr>
                        </w:pPr>
                        <w:r>
                          <w:rPr>
                            <w:rFonts w:eastAsia="Times New Roman"/>
                            <w:noProof/>
                          </w:rPr>
                          <w:drawing>
                            <wp:inline distT="0" distB="0" distL="0" distR="0" wp14:anchorId="046B8DFA" wp14:editId="69135A76">
                              <wp:extent cx="935355" cy="669925"/>
                              <wp:effectExtent l="0" t="0" r="17145" b="158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5355" cy="669925"/>
                                      </a:xfrm>
                                      <a:prstGeom prst="rect">
                                        <a:avLst/>
                                      </a:prstGeom>
                                      <a:noFill/>
                                      <a:ln>
                                        <a:noFill/>
                                      </a:ln>
                                    </pic:spPr>
                                  </pic:pic>
                                </a:graphicData>
                              </a:graphic>
                            </wp:inline>
                          </w:drawing>
                        </w:r>
                      </w:p>
                    </w:tc>
                  </w:tr>
                  <w:tr w:rsidR="00853C75" w14:paraId="30619769" w14:textId="77777777">
                    <w:trPr>
                      <w:tblCellSpacing w:w="0" w:type="dxa"/>
                    </w:trPr>
                    <w:tc>
                      <w:tcPr>
                        <w:tcW w:w="0" w:type="auto"/>
                        <w:vMerge/>
                        <w:tcBorders>
                          <w:top w:val="nil"/>
                          <w:left w:val="nil"/>
                          <w:bottom w:val="single" w:sz="2" w:space="0" w:color="FFFFFF"/>
                          <w:right w:val="nil"/>
                        </w:tcBorders>
                        <w:vAlign w:val="center"/>
                        <w:hideMark/>
                      </w:tcPr>
                      <w:p w14:paraId="3F1F754F" w14:textId="77777777" w:rsidR="00853C75" w:rsidRDefault="00853C75">
                        <w:pPr>
                          <w:rPr>
                            <w:rFonts w:eastAsia="Times New Roman"/>
                          </w:rPr>
                        </w:pPr>
                      </w:p>
                    </w:tc>
                    <w:tc>
                      <w:tcPr>
                        <w:tcW w:w="3450" w:type="dxa"/>
                        <w:tcBorders>
                          <w:top w:val="nil"/>
                          <w:left w:val="nil"/>
                          <w:bottom w:val="nil"/>
                          <w:right w:val="nil"/>
                        </w:tcBorders>
                        <w:vAlign w:val="center"/>
                        <w:hideMark/>
                      </w:tcPr>
                      <w:p w14:paraId="34E42B65" w14:textId="77777777" w:rsidR="00853C75" w:rsidRDefault="00853C75">
                        <w:pPr>
                          <w:pStyle w:val="Heading1"/>
                          <w:rPr>
                            <w:rFonts w:eastAsia="Times New Roman"/>
                          </w:rPr>
                        </w:pPr>
                        <w:r>
                          <w:rPr>
                            <w:rFonts w:eastAsia="Times New Roman"/>
                          </w:rPr>
                          <w:t>PSNC Newsletter</w:t>
                        </w:r>
                      </w:p>
                    </w:tc>
                  </w:tr>
                  <w:tr w:rsidR="00853C75" w14:paraId="654A4A1A" w14:textId="77777777">
                    <w:trPr>
                      <w:tblCellSpacing w:w="0" w:type="dxa"/>
                    </w:trPr>
                    <w:tc>
                      <w:tcPr>
                        <w:tcW w:w="0" w:type="auto"/>
                        <w:vMerge/>
                        <w:tcBorders>
                          <w:top w:val="nil"/>
                          <w:left w:val="nil"/>
                          <w:bottom w:val="single" w:sz="2" w:space="0" w:color="FFFFFF"/>
                          <w:right w:val="nil"/>
                        </w:tcBorders>
                        <w:vAlign w:val="center"/>
                        <w:hideMark/>
                      </w:tcPr>
                      <w:p w14:paraId="2AFA6931" w14:textId="77777777" w:rsidR="00853C75" w:rsidRDefault="00853C75">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63A252AB" w14:textId="77777777" w:rsidR="00853C75" w:rsidRDefault="00853C75">
                        <w:pPr>
                          <w:pStyle w:val="Heading2"/>
                          <w:rPr>
                            <w:rFonts w:eastAsia="Times New Roman"/>
                            <w:color w:val="93378A"/>
                          </w:rPr>
                        </w:pPr>
                        <w:r>
                          <w:rPr>
                            <w:rFonts w:eastAsia="Times New Roman"/>
                            <w:color w:val="93378A"/>
                          </w:rPr>
                          <w:t>Friday 26th November 2021</w:t>
                        </w:r>
                      </w:p>
                    </w:tc>
                  </w:tr>
                </w:tbl>
                <w:p w14:paraId="6E09BB6F" w14:textId="77777777" w:rsidR="00853C75" w:rsidRDefault="00853C75">
                  <w:pPr>
                    <w:rPr>
                      <w:rFonts w:ascii="Times New Roman" w:eastAsia="Times New Roman" w:hAnsi="Times New Roman" w:cs="Times New Roman"/>
                      <w:sz w:val="20"/>
                      <w:szCs w:val="20"/>
                    </w:rPr>
                  </w:pPr>
                </w:p>
              </w:tc>
            </w:tr>
            <w:tr w:rsidR="00853C75" w14:paraId="5C95A0A9" w14:textId="77777777" w:rsidTr="00853C75">
              <w:tblPrEx>
                <w:shd w:val="clear" w:color="auto" w:fill="auto"/>
              </w:tblPrEx>
              <w:trPr>
                <w:tblCellSpacing w:w="0" w:type="dxa"/>
                <w:jc w:val="center"/>
              </w:trPr>
              <w:tc>
                <w:tcPr>
                  <w:tcW w:w="9026" w:type="dxa"/>
                  <w:gridSpan w:val="2"/>
                  <w:hideMark/>
                </w:tcPr>
                <w:p w14:paraId="6FEC701B" w14:textId="221DDD65" w:rsidR="00853C75" w:rsidRDefault="00853C75">
                  <w:pPr>
                    <w:rPr>
                      <w:rFonts w:eastAsia="Times New Roman"/>
                    </w:rPr>
                  </w:pPr>
                  <w:r>
                    <w:rPr>
                      <w:rFonts w:eastAsia="Times New Roman"/>
                      <w:noProof/>
                    </w:rPr>
                    <w:drawing>
                      <wp:inline distT="0" distB="0" distL="0" distR="0" wp14:anchorId="2D326B8A" wp14:editId="7195FD28">
                        <wp:extent cx="5720080" cy="212725"/>
                        <wp:effectExtent l="0" t="0" r="13970" b="158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20080" cy="212725"/>
                                </a:xfrm>
                                <a:prstGeom prst="rect">
                                  <a:avLst/>
                                </a:prstGeom>
                                <a:noFill/>
                                <a:ln>
                                  <a:noFill/>
                                </a:ln>
                              </pic:spPr>
                            </pic:pic>
                          </a:graphicData>
                        </a:graphic>
                      </wp:inline>
                    </w:drawing>
                  </w:r>
                </w:p>
              </w:tc>
            </w:tr>
            <w:tr w:rsidR="00853C75" w14:paraId="22E08B48" w14:textId="77777777" w:rsidTr="00853C75">
              <w:tblPrEx>
                <w:shd w:val="clear" w:color="auto" w:fill="auto"/>
              </w:tblPrEx>
              <w:trPr>
                <w:tblCellSpacing w:w="0" w:type="dxa"/>
                <w:jc w:val="center"/>
              </w:trPr>
              <w:tc>
                <w:tcPr>
                  <w:tcW w:w="902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853C75" w14:paraId="5263509C" w14:textId="77777777">
                    <w:trPr>
                      <w:trHeight w:val="150"/>
                      <w:tblCellSpacing w:w="15" w:type="dxa"/>
                      <w:jc w:val="center"/>
                    </w:trPr>
                    <w:tc>
                      <w:tcPr>
                        <w:tcW w:w="150" w:type="dxa"/>
                        <w:vAlign w:val="center"/>
                        <w:hideMark/>
                      </w:tcPr>
                      <w:p w14:paraId="7341601D" w14:textId="77777777" w:rsidR="00853C75" w:rsidRDefault="00853C75">
                        <w:pPr>
                          <w:rPr>
                            <w:rFonts w:eastAsia="Times New Roman"/>
                          </w:rPr>
                        </w:pPr>
                      </w:p>
                    </w:tc>
                    <w:tc>
                      <w:tcPr>
                        <w:tcW w:w="8700" w:type="dxa"/>
                        <w:vAlign w:val="center"/>
                        <w:hideMark/>
                      </w:tcPr>
                      <w:p w14:paraId="2E1127E1" w14:textId="77777777" w:rsidR="00853C75" w:rsidRDefault="00853C75">
                        <w:pPr>
                          <w:rPr>
                            <w:rFonts w:ascii="Times New Roman" w:eastAsia="Times New Roman" w:hAnsi="Times New Roman" w:cs="Times New Roman"/>
                            <w:sz w:val="20"/>
                            <w:szCs w:val="20"/>
                          </w:rPr>
                        </w:pPr>
                      </w:p>
                    </w:tc>
                    <w:tc>
                      <w:tcPr>
                        <w:tcW w:w="150" w:type="dxa"/>
                        <w:vAlign w:val="center"/>
                        <w:hideMark/>
                      </w:tcPr>
                      <w:p w14:paraId="6333B994" w14:textId="77777777" w:rsidR="00853C75" w:rsidRDefault="00853C75">
                        <w:pPr>
                          <w:rPr>
                            <w:rFonts w:ascii="Times New Roman" w:eastAsia="Times New Roman" w:hAnsi="Times New Roman" w:cs="Times New Roman"/>
                            <w:sz w:val="20"/>
                            <w:szCs w:val="20"/>
                          </w:rPr>
                        </w:pPr>
                      </w:p>
                    </w:tc>
                  </w:tr>
                  <w:tr w:rsidR="00853C75" w14:paraId="621080EF" w14:textId="77777777">
                    <w:trPr>
                      <w:tblCellSpacing w:w="15" w:type="dxa"/>
                      <w:jc w:val="center"/>
                    </w:trPr>
                    <w:tc>
                      <w:tcPr>
                        <w:tcW w:w="150" w:type="dxa"/>
                        <w:vAlign w:val="center"/>
                        <w:hideMark/>
                      </w:tcPr>
                      <w:p w14:paraId="47185573" w14:textId="77777777" w:rsidR="00853C75" w:rsidRDefault="00853C75">
                        <w:pPr>
                          <w:rPr>
                            <w:rFonts w:ascii="Times New Roman" w:eastAsia="Times New Roman" w:hAnsi="Times New Roman" w:cs="Times New Roman"/>
                            <w:sz w:val="20"/>
                            <w:szCs w:val="20"/>
                          </w:rPr>
                        </w:pPr>
                      </w:p>
                    </w:tc>
                    <w:tc>
                      <w:tcPr>
                        <w:tcW w:w="8700" w:type="dxa"/>
                        <w:vAlign w:val="center"/>
                        <w:hideMark/>
                      </w:tcPr>
                      <w:p w14:paraId="0B930262" w14:textId="77777777" w:rsidR="00853C75" w:rsidRDefault="00853C75">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21CF28C5" w14:textId="77777777" w:rsidR="00853C75" w:rsidRDefault="00853C75">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02545E0F">
                            <v:rect id="_x0000_i1032" style="width:468pt;height:1.5pt" o:hralign="center" o:hrstd="t" o:hr="t" fillcolor="#a0a0a0" stroked="f"/>
                          </w:pict>
                        </w:r>
                      </w:p>
                      <w:p w14:paraId="235BC5C4" w14:textId="77777777" w:rsidR="00853C75" w:rsidRDefault="00853C75">
                        <w:pPr>
                          <w:pStyle w:val="Heading2"/>
                          <w:rPr>
                            <w:rFonts w:eastAsia="Times New Roman"/>
                          </w:rPr>
                        </w:pPr>
                        <w:r>
                          <w:rPr>
                            <w:rFonts w:eastAsia="Times New Roman"/>
                          </w:rPr>
                          <w:t xml:space="preserve">In this update: SSP issued for </w:t>
                        </w:r>
                        <w:proofErr w:type="spellStart"/>
                        <w:r>
                          <w:rPr>
                            <w:rFonts w:eastAsia="Times New Roman"/>
                          </w:rPr>
                          <w:t>Salazopyrin</w:t>
                        </w:r>
                        <w:proofErr w:type="spellEnd"/>
                        <w:r>
                          <w:rPr>
                            <w:rFonts w:eastAsia="Times New Roman"/>
                          </w:rPr>
                          <w:t xml:space="preserve"> 500mg EN-Tabs; changes to patient satisfaction survey requirements; new PSNC Regional Rep.</w:t>
                        </w:r>
                      </w:p>
                      <w:p w14:paraId="12BEAC86" w14:textId="77777777" w:rsidR="00853C75" w:rsidRDefault="00853C75">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79A91F84">
                            <v:rect id="_x0000_i1033" style="width:468pt;height:1.5pt" o:hralign="center" o:hrstd="t" o:hr="t" fillcolor="#a0a0a0" stroked="f"/>
                          </w:pict>
                        </w:r>
                      </w:p>
                      <w:p w14:paraId="37ED4CA0" w14:textId="77777777" w:rsidR="00853C75" w:rsidRDefault="00853C75">
                        <w:pPr>
                          <w:pStyle w:val="Heading3"/>
                          <w:rPr>
                            <w:rFonts w:eastAsia="Times New Roman"/>
                          </w:rPr>
                        </w:pPr>
                        <w:r>
                          <w:rPr>
                            <w:rFonts w:eastAsia="Times New Roman"/>
                          </w:rPr>
                          <w:t xml:space="preserve">SSP issued for </w:t>
                        </w:r>
                        <w:proofErr w:type="spellStart"/>
                        <w:r>
                          <w:rPr>
                            <w:rFonts w:eastAsia="Times New Roman"/>
                          </w:rPr>
                          <w:t>Salazopyrin</w:t>
                        </w:r>
                        <w:proofErr w:type="spellEnd"/>
                        <w:r>
                          <w:rPr>
                            <w:rFonts w:eastAsia="Times New Roman"/>
                          </w:rPr>
                          <w:t xml:space="preserve"> 500mg EN-Tabs</w:t>
                        </w:r>
                      </w:p>
                      <w:p w14:paraId="25A15597" w14:textId="44D81A44" w:rsidR="00853C75" w:rsidRDefault="00853C75" w:rsidP="002D0D4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A Serious Shortage Protocol (SSP) has been issued for the supply of </w:t>
                        </w:r>
                        <w:proofErr w:type="spellStart"/>
                        <w:r>
                          <w:rPr>
                            <w:rFonts w:ascii="Tahoma" w:eastAsia="Times New Roman" w:hAnsi="Tahoma" w:cs="Tahoma"/>
                            <w:color w:val="303030"/>
                            <w:sz w:val="21"/>
                            <w:szCs w:val="21"/>
                          </w:rPr>
                          <w:t>Salazopyrin</w:t>
                        </w:r>
                        <w:proofErr w:type="spellEnd"/>
                        <w:r>
                          <w:rPr>
                            <w:rFonts w:ascii="Tahoma" w:eastAsia="Times New Roman" w:hAnsi="Tahoma" w:cs="Tahoma"/>
                            <w:color w:val="303030"/>
                            <w:sz w:val="21"/>
                            <w:szCs w:val="21"/>
                          </w:rPr>
                          <w:t xml:space="preserve"> EN-Tabs, and community pharmacy teams are required to implement the new protocol with immediate effect. </w:t>
                        </w:r>
                      </w:p>
                      <w:p w14:paraId="395D55ED" w14:textId="77777777" w:rsidR="00853C75" w:rsidRDefault="00853C75" w:rsidP="002D0D4C">
                        <w:pPr>
                          <w:pStyle w:val="NormalWeb"/>
                          <w:spacing w:line="264" w:lineRule="auto"/>
                          <w:rPr>
                            <w:rFonts w:ascii="Tahoma" w:hAnsi="Tahoma" w:cs="Tahoma"/>
                            <w:color w:val="303030"/>
                            <w:sz w:val="21"/>
                            <w:szCs w:val="21"/>
                          </w:rPr>
                        </w:pPr>
                        <w:r>
                          <w:rPr>
                            <w:rFonts w:ascii="Tahoma" w:hAnsi="Tahoma" w:cs="Tahoma"/>
                            <w:color w:val="303030"/>
                            <w:sz w:val="21"/>
                            <w:szCs w:val="21"/>
                          </w:rPr>
                          <w:t xml:space="preserve">SSP014 provides that for every </w:t>
                        </w:r>
                        <w:proofErr w:type="spellStart"/>
                        <w:r>
                          <w:rPr>
                            <w:rFonts w:ascii="Tahoma" w:hAnsi="Tahoma" w:cs="Tahoma"/>
                            <w:color w:val="303030"/>
                            <w:sz w:val="21"/>
                            <w:szCs w:val="21"/>
                          </w:rPr>
                          <w:t>Salazopyrin®EN-Tabs</w:t>
                        </w:r>
                        <w:proofErr w:type="spellEnd"/>
                        <w:r>
                          <w:rPr>
                            <w:rFonts w:ascii="Tahoma" w:hAnsi="Tahoma" w:cs="Tahoma"/>
                            <w:color w:val="303030"/>
                            <w:sz w:val="21"/>
                            <w:szCs w:val="21"/>
                          </w:rPr>
                          <w:t xml:space="preserve"> 500mg tablet originally prescribed, one</w:t>
                        </w:r>
                        <w:r>
                          <w:rPr>
                            <w:rStyle w:val="Strong"/>
                            <w:rFonts w:ascii="Tahoma" w:hAnsi="Tahoma" w:cs="Tahoma"/>
                            <w:color w:val="303030"/>
                            <w:sz w:val="21"/>
                            <w:szCs w:val="21"/>
                          </w:rPr>
                          <w:t> Sulfasalazine 500mg gastro-resistant (GR) tablet</w:t>
                        </w:r>
                        <w:r>
                          <w:rPr>
                            <w:rFonts w:ascii="Tahoma" w:hAnsi="Tahoma" w:cs="Tahoma"/>
                            <w:color w:val="303030"/>
                            <w:sz w:val="21"/>
                            <w:szCs w:val="21"/>
                          </w:rPr>
                          <w:t xml:space="preserve"> must be supplied. The SSP has been developed in response to a significant ongoing disruption to the supply of </w:t>
                        </w:r>
                        <w:proofErr w:type="spellStart"/>
                        <w:r>
                          <w:rPr>
                            <w:rFonts w:ascii="Tahoma" w:hAnsi="Tahoma" w:cs="Tahoma"/>
                            <w:color w:val="303030"/>
                            <w:sz w:val="21"/>
                            <w:szCs w:val="21"/>
                          </w:rPr>
                          <w:t>Salazopyrin</w:t>
                        </w:r>
                        <w:proofErr w:type="spellEnd"/>
                        <w:r>
                          <w:rPr>
                            <w:rFonts w:ascii="Tahoma" w:hAnsi="Tahoma" w:cs="Tahoma"/>
                            <w:color w:val="303030"/>
                            <w:sz w:val="21"/>
                            <w:szCs w:val="21"/>
                          </w:rPr>
                          <w:t xml:space="preserve"> EN-Tabs and is currently due to be in place until </w:t>
                        </w:r>
                        <w:r>
                          <w:rPr>
                            <w:rStyle w:val="Strong"/>
                            <w:rFonts w:ascii="Tahoma" w:hAnsi="Tahoma" w:cs="Tahoma"/>
                            <w:color w:val="303030"/>
                            <w:sz w:val="21"/>
                            <w:szCs w:val="21"/>
                          </w:rPr>
                          <w:t>20th December 2021</w:t>
                        </w:r>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Learn more about SSP014</w:t>
                          </w:r>
                        </w:hyperlink>
                      </w:p>
                      <w:p w14:paraId="4CB6374B" w14:textId="77777777" w:rsidR="00853C75" w:rsidRDefault="00853C75">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682B0264">
                            <v:rect id="_x0000_i1034" style="width:468pt;height:1.5pt" o:hralign="center" o:hrstd="t" o:hr="t" fillcolor="#a0a0a0" stroked="f"/>
                          </w:pict>
                        </w:r>
                      </w:p>
                      <w:p w14:paraId="05741C0E" w14:textId="77777777" w:rsidR="00853C75" w:rsidRDefault="00853C75">
                        <w:pPr>
                          <w:pStyle w:val="Heading3"/>
                          <w:rPr>
                            <w:rFonts w:eastAsia="Times New Roman"/>
                          </w:rPr>
                        </w:pPr>
                        <w:r>
                          <w:rPr>
                            <w:rFonts w:eastAsia="Times New Roman"/>
                          </w:rPr>
                          <w:t>Changes to patient satisfaction survey requirements announced</w:t>
                        </w:r>
                      </w:p>
                      <w:p w14:paraId="5264F676" w14:textId="317473A0" w:rsidR="00853C75" w:rsidRDefault="00853C75" w:rsidP="002D0D4C">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requirement that all pharmacy contractors undertake an annual survey of patients using the Community Pharmacy Patient Questionnaire (CPPQ) has been changed. Contractors now have to undertake an annual assessment of patient satisfaction, but they do no need to use the CPPQ.</w:t>
                        </w:r>
                        <w:r>
                          <w:rPr>
                            <w:rFonts w:ascii="Tahoma" w:eastAsia="Times New Roman" w:hAnsi="Tahoma" w:cs="Tahoma"/>
                            <w:color w:val="303030"/>
                            <w:sz w:val="21"/>
                            <w:szCs w:val="21"/>
                          </w:rPr>
                          <w:br/>
                        </w:r>
                        <w:r>
                          <w:rPr>
                            <w:rFonts w:ascii="Tahoma" w:eastAsia="Times New Roman" w:hAnsi="Tahoma" w:cs="Tahoma"/>
                            <w:color w:val="303030"/>
                            <w:sz w:val="21"/>
                            <w:szCs w:val="21"/>
                          </w:rPr>
                          <w:br/>
                          <w:t>PSNC’s proposals for these changes to the requirements were agreed by NHS England and NHS Improvement (NHSE&amp;I) and the Department of Health and Social Care, and the detail is set out in updated Approved Particulars for the annual patient experience survey.</w:t>
                        </w:r>
                        <w:r>
                          <w:rPr>
                            <w:rFonts w:ascii="Tahoma" w:eastAsia="Times New Roman" w:hAnsi="Tahoma" w:cs="Tahoma"/>
                            <w:color w:val="303030"/>
                            <w:sz w:val="21"/>
                            <w:szCs w:val="21"/>
                          </w:rPr>
                          <w:br/>
                        </w:r>
                        <w:r>
                          <w:rPr>
                            <w:rFonts w:ascii="Tahoma" w:eastAsia="Times New Roman" w:hAnsi="Tahoma" w:cs="Tahoma"/>
                            <w:color w:val="303030"/>
                            <w:sz w:val="21"/>
                            <w:szCs w:val="21"/>
                          </w:rPr>
                          <w:br/>
                          <w:t>Under the new requirements, contractors must still undertake a survey, but they can now collect feedback on their patients' experience of using the pharmacy's NHS services through a variety of methods, rather than having to use the CPPQ.</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Find out more about the changes</w:t>
                          </w:r>
                        </w:hyperlink>
                        <w:r>
                          <w:rPr>
                            <w:rFonts w:ascii="Tahoma" w:eastAsia="Times New Roman" w:hAnsi="Tahoma" w:cs="Tahoma"/>
                            <w:color w:val="303030"/>
                            <w:sz w:val="21"/>
                            <w:szCs w:val="21"/>
                          </w:rPr>
                          <w:t xml:space="preserve"> </w:t>
                        </w:r>
                      </w:p>
                      <w:p w14:paraId="0650019C" w14:textId="77777777" w:rsidR="00853C75" w:rsidRDefault="00853C75">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55079569">
                            <v:rect id="_x0000_i1035" style="width:468pt;height:1.5pt" o:hralign="center" o:hrstd="t" o:hr="t" fillcolor="#a0a0a0" stroked="f"/>
                          </w:pict>
                        </w:r>
                      </w:p>
                      <w:p w14:paraId="465A70FF" w14:textId="77777777" w:rsidR="00853C75" w:rsidRDefault="00853C75">
                        <w:pPr>
                          <w:pStyle w:val="Heading3"/>
                          <w:rPr>
                            <w:rFonts w:eastAsia="Times New Roman"/>
                          </w:rPr>
                        </w:pPr>
                        <w:r>
                          <w:rPr>
                            <w:rFonts w:eastAsia="Times New Roman"/>
                          </w:rPr>
                          <w:lastRenderedPageBreak/>
                          <w:t>New PSNC East Midlands and South Yorkshire Regional Rep</w:t>
                        </w:r>
                      </w:p>
                      <w:p w14:paraId="16ADD0BD" w14:textId="50F46388" w:rsidR="00853C75" w:rsidRDefault="00853C75" w:rsidP="00853C7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is pleased to announce that Lindsey Fairbrother, an independent contractor from Derbyshire, has been co-opted as the Regional Representative for the East Midlands and South Yorkshire Region.</w:t>
                        </w:r>
                        <w:r>
                          <w:rPr>
                            <w:rFonts w:ascii="Tahoma" w:eastAsia="Times New Roman" w:hAnsi="Tahoma" w:cs="Tahoma"/>
                            <w:color w:val="303030"/>
                            <w:sz w:val="21"/>
                            <w:szCs w:val="21"/>
                          </w:rPr>
                          <w:br/>
                        </w:r>
                        <w:r>
                          <w:rPr>
                            <w:rFonts w:ascii="Tahoma" w:eastAsia="Times New Roman" w:hAnsi="Tahoma" w:cs="Tahoma"/>
                            <w:color w:val="303030"/>
                            <w:sz w:val="21"/>
                            <w:szCs w:val="21"/>
                          </w:rPr>
                          <w:br/>
                          <w:t>Lindsey will represent all independent contractors in the region at the PSNC Committee until 31st March 2023, which is the end of the current term for all Regional Representatives.</w:t>
                        </w:r>
                      </w:p>
                    </w:tc>
                    <w:tc>
                      <w:tcPr>
                        <w:tcW w:w="150" w:type="dxa"/>
                        <w:vAlign w:val="center"/>
                        <w:hideMark/>
                      </w:tcPr>
                      <w:p w14:paraId="252D9DEE" w14:textId="77777777" w:rsidR="00853C75" w:rsidRDefault="00853C75">
                        <w:pPr>
                          <w:rPr>
                            <w:rFonts w:ascii="Tahoma" w:eastAsia="Times New Roman" w:hAnsi="Tahoma" w:cs="Tahoma"/>
                            <w:color w:val="303030"/>
                            <w:sz w:val="21"/>
                            <w:szCs w:val="21"/>
                          </w:rPr>
                        </w:pPr>
                      </w:p>
                    </w:tc>
                  </w:tr>
                  <w:tr w:rsidR="00853C75" w14:paraId="1B26D5AE" w14:textId="77777777">
                    <w:trPr>
                      <w:trHeight w:val="150"/>
                      <w:tblCellSpacing w:w="15" w:type="dxa"/>
                      <w:jc w:val="center"/>
                    </w:trPr>
                    <w:tc>
                      <w:tcPr>
                        <w:tcW w:w="150" w:type="dxa"/>
                        <w:vAlign w:val="center"/>
                        <w:hideMark/>
                      </w:tcPr>
                      <w:p w14:paraId="2E2F49FC" w14:textId="77777777" w:rsidR="00853C75" w:rsidRDefault="00853C75">
                        <w:pPr>
                          <w:rPr>
                            <w:rFonts w:ascii="Times New Roman" w:eastAsia="Times New Roman" w:hAnsi="Times New Roman" w:cs="Times New Roman"/>
                            <w:sz w:val="20"/>
                            <w:szCs w:val="20"/>
                          </w:rPr>
                        </w:pPr>
                      </w:p>
                    </w:tc>
                    <w:tc>
                      <w:tcPr>
                        <w:tcW w:w="8700" w:type="dxa"/>
                        <w:vAlign w:val="center"/>
                        <w:hideMark/>
                      </w:tcPr>
                      <w:p w14:paraId="6736175F" w14:textId="77777777" w:rsidR="00853C75" w:rsidRDefault="00853C75">
                        <w:pPr>
                          <w:rPr>
                            <w:rFonts w:ascii="Times New Roman" w:eastAsia="Times New Roman" w:hAnsi="Times New Roman" w:cs="Times New Roman"/>
                            <w:sz w:val="20"/>
                            <w:szCs w:val="20"/>
                          </w:rPr>
                        </w:pPr>
                      </w:p>
                    </w:tc>
                    <w:tc>
                      <w:tcPr>
                        <w:tcW w:w="150" w:type="dxa"/>
                        <w:vAlign w:val="center"/>
                        <w:hideMark/>
                      </w:tcPr>
                      <w:p w14:paraId="212B74A6" w14:textId="77777777" w:rsidR="00853C75" w:rsidRDefault="00853C75">
                        <w:pPr>
                          <w:rPr>
                            <w:rFonts w:ascii="Times New Roman" w:eastAsia="Times New Roman" w:hAnsi="Times New Roman" w:cs="Times New Roman"/>
                            <w:sz w:val="20"/>
                            <w:szCs w:val="20"/>
                          </w:rPr>
                        </w:pPr>
                      </w:p>
                    </w:tc>
                  </w:tr>
                </w:tbl>
                <w:p w14:paraId="3BE031BA" w14:textId="77777777" w:rsidR="00853C75" w:rsidRDefault="00853C75">
                  <w:pPr>
                    <w:jc w:val="center"/>
                    <w:rPr>
                      <w:rFonts w:ascii="Times New Roman" w:eastAsia="Times New Roman" w:hAnsi="Times New Roman" w:cs="Times New Roman"/>
                      <w:sz w:val="20"/>
                      <w:szCs w:val="20"/>
                    </w:rPr>
                  </w:pPr>
                </w:p>
              </w:tc>
            </w:tr>
          </w:tbl>
          <w:p w14:paraId="1B4C136A" w14:textId="77777777" w:rsidR="00853C75" w:rsidRDefault="00853C75">
            <w:pPr>
              <w:jc w:val="center"/>
              <w:rPr>
                <w:rFonts w:ascii="Times New Roman" w:eastAsia="Times New Roman" w:hAnsi="Times New Roman" w:cs="Times New Roman"/>
                <w:sz w:val="20"/>
                <w:szCs w:val="20"/>
              </w:rPr>
            </w:pPr>
          </w:p>
        </w:tc>
      </w:tr>
      <w:tr w:rsidR="00853C75" w14:paraId="14A7D047" w14:textId="77777777" w:rsidTr="00853C75">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853C75" w14:paraId="259ED7E0"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853C75" w14:paraId="41C7429D" w14:textId="77777777">
                    <w:trPr>
                      <w:tblCellSpacing w:w="0" w:type="dxa"/>
                      <w:jc w:val="center"/>
                    </w:trPr>
                    <w:tc>
                      <w:tcPr>
                        <w:tcW w:w="3000" w:type="dxa"/>
                        <w:tcMar>
                          <w:top w:w="30" w:type="dxa"/>
                          <w:left w:w="75" w:type="dxa"/>
                          <w:bottom w:w="30" w:type="dxa"/>
                          <w:right w:w="75" w:type="dxa"/>
                        </w:tcMar>
                        <w:hideMark/>
                      </w:tcPr>
                      <w:p w14:paraId="787D40D4" w14:textId="77777777" w:rsidR="00853C75" w:rsidRDefault="00853C75">
                        <w:pPr>
                          <w:pStyle w:val="Heading4"/>
                          <w:jc w:val="center"/>
                          <w:rPr>
                            <w:rFonts w:eastAsia="Times New Roman"/>
                          </w:rPr>
                        </w:pPr>
                        <w:r>
                          <w:rPr>
                            <w:rFonts w:eastAsia="Times New Roman"/>
                          </w:rPr>
                          <w:lastRenderedPageBreak/>
                          <w:t>Pharmaceutical Services Negotiating Committee</w:t>
                        </w:r>
                      </w:p>
                      <w:p w14:paraId="782CF867" w14:textId="42BF888A" w:rsidR="00853C75" w:rsidRDefault="00853C75">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1EFBCA3E" wp14:editId="2FFAC760">
                              <wp:extent cx="605790" cy="308610"/>
                              <wp:effectExtent l="0" t="0" r="3810" b="15240"/>
                              <wp:docPr id="5" name="Picture 5">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C8A71FC" wp14:editId="38D16756">
                              <wp:extent cx="605790" cy="308610"/>
                              <wp:effectExtent l="0" t="0" r="3810" b="15240"/>
                              <wp:docPr id="4" name="Picture 4">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64392A3" wp14:editId="01470B02">
                              <wp:extent cx="605790" cy="308610"/>
                              <wp:effectExtent l="0" t="0" r="3810" b="15240"/>
                              <wp:docPr id="3" name="Picture 3">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95D32A3" wp14:editId="5F3920B0">
                              <wp:extent cx="605790" cy="308610"/>
                              <wp:effectExtent l="0" t="0" r="3810" b="15240"/>
                              <wp:docPr id="2" name="Picture 2" descr="Graphical user interface&#10;&#10;Description automatically generated">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19" tgtFrame="_blank"/>
                                      </pic:cNvPr>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70427D21" w14:textId="77777777" w:rsidR="00853C75" w:rsidRDefault="00853C75">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2"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853C75" w14:paraId="5E088714" w14:textId="77777777" w:rsidTr="00853C75">
                    <w:trPr>
                      <w:trHeight w:val="21"/>
                      <w:tblCellSpacing w:w="0" w:type="dxa"/>
                      <w:jc w:val="center"/>
                    </w:trPr>
                    <w:tc>
                      <w:tcPr>
                        <w:tcW w:w="9000" w:type="dxa"/>
                        <w:tcMar>
                          <w:top w:w="150" w:type="dxa"/>
                          <w:left w:w="0" w:type="dxa"/>
                          <w:bottom w:w="0" w:type="dxa"/>
                          <w:right w:w="0" w:type="dxa"/>
                        </w:tcMar>
                        <w:vAlign w:val="center"/>
                        <w:hideMark/>
                      </w:tcPr>
                      <w:p w14:paraId="145362F8" w14:textId="29F30677" w:rsidR="00853C75" w:rsidRDefault="00853C75" w:rsidP="00853C75">
                        <w:pPr>
                          <w:rPr>
                            <w:rFonts w:ascii="Arial" w:eastAsia="Times New Roman" w:hAnsi="Arial" w:cs="Arial"/>
                            <w:color w:val="FFFFFF"/>
                            <w:sz w:val="17"/>
                            <w:szCs w:val="17"/>
                          </w:rPr>
                        </w:pPr>
                      </w:p>
                    </w:tc>
                  </w:tr>
                </w:tbl>
                <w:p w14:paraId="0832F2F2" w14:textId="77777777" w:rsidR="00853C75" w:rsidRDefault="00853C75">
                  <w:pPr>
                    <w:jc w:val="center"/>
                    <w:rPr>
                      <w:rFonts w:ascii="Times New Roman" w:eastAsia="Times New Roman" w:hAnsi="Times New Roman" w:cs="Times New Roman"/>
                      <w:sz w:val="20"/>
                      <w:szCs w:val="20"/>
                    </w:rPr>
                  </w:pPr>
                </w:p>
              </w:tc>
            </w:tr>
          </w:tbl>
          <w:p w14:paraId="59CC7B6C" w14:textId="77777777" w:rsidR="00853C75" w:rsidRDefault="00853C75">
            <w:pPr>
              <w:jc w:val="center"/>
              <w:rPr>
                <w:rFonts w:ascii="Times New Roman" w:eastAsia="Times New Roman" w:hAnsi="Times New Roman" w:cs="Times New Roman"/>
                <w:sz w:val="20"/>
                <w:szCs w:val="20"/>
              </w:rPr>
            </w:pPr>
          </w:p>
        </w:tc>
      </w:tr>
    </w:tbl>
    <w:p w14:paraId="04EDF8CE" w14:textId="06D0E3FF" w:rsidR="00853C75" w:rsidRDefault="00853C75" w:rsidP="00853C75">
      <w:pPr>
        <w:rPr>
          <w:rFonts w:eastAsia="Times New Roman"/>
        </w:rPr>
      </w:pPr>
      <w:r>
        <w:rPr>
          <w:rFonts w:eastAsia="Times New Roman"/>
          <w:noProof/>
        </w:rPr>
        <w:drawing>
          <wp:inline distT="0" distB="0" distL="0" distR="0" wp14:anchorId="576C4C43" wp14:editId="70BFBD5F">
            <wp:extent cx="10795"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7B39AE06"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C75"/>
    <w:rsid w:val="002D0D4C"/>
    <w:rsid w:val="00853C75"/>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B370C"/>
  <w15:chartTrackingRefBased/>
  <w15:docId w15:val="{8A04468C-E949-4F78-99A2-FF58F4895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C75"/>
    <w:rPr>
      <w:rFonts w:ascii="Calibri" w:hAnsi="Calibri" w:cs="Calibri"/>
      <w:lang w:eastAsia="en-GB"/>
    </w:rPr>
  </w:style>
  <w:style w:type="paragraph" w:styleId="Heading1">
    <w:name w:val="heading 1"/>
    <w:basedOn w:val="Normal"/>
    <w:link w:val="Heading1Char"/>
    <w:uiPriority w:val="9"/>
    <w:qFormat/>
    <w:rsid w:val="00853C75"/>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853C75"/>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853C75"/>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853C75"/>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C75"/>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853C75"/>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853C75"/>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853C75"/>
    <w:rPr>
      <w:rFonts w:ascii="Tahoma" w:hAnsi="Tahoma" w:cs="Tahoma"/>
      <w:b/>
      <w:bCs/>
      <w:color w:val="FFFFFF"/>
      <w:sz w:val="18"/>
      <w:szCs w:val="18"/>
      <w:lang w:eastAsia="en-GB"/>
    </w:rPr>
  </w:style>
  <w:style w:type="paragraph" w:styleId="NormalWeb">
    <w:name w:val="Normal (Web)"/>
    <w:basedOn w:val="Normal"/>
    <w:uiPriority w:val="99"/>
    <w:semiHidden/>
    <w:unhideWhenUsed/>
    <w:rsid w:val="00853C75"/>
    <w:pPr>
      <w:spacing w:before="100" w:beforeAutospacing="1" w:after="100" w:afterAutospacing="1"/>
    </w:pPr>
  </w:style>
  <w:style w:type="character" w:styleId="Strong">
    <w:name w:val="Strong"/>
    <w:basedOn w:val="DefaultParagraphFont"/>
    <w:uiPriority w:val="22"/>
    <w:qFormat/>
    <w:rsid w:val="00853C75"/>
    <w:rPr>
      <w:b/>
      <w:bCs/>
    </w:rPr>
  </w:style>
  <w:style w:type="character" w:styleId="Hyperlink">
    <w:name w:val="Hyperlink"/>
    <w:basedOn w:val="DefaultParagraphFont"/>
    <w:uiPriority w:val="99"/>
    <w:semiHidden/>
    <w:unhideWhenUsed/>
    <w:rsid w:val="00853C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33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77f19e57dc&amp;e=d19e9fd41c" TargetMode="External"/><Relationship Id="rId13" Type="http://schemas.openxmlformats.org/officeDocument/2006/relationships/hyperlink" Target="https://psnc.us7.list-manage.com/track/click?u=86d41ab7fa4c7c2c5d7210782&amp;id=ab179fdfef&amp;e=d19e9fd41c" TargetMode="External"/><Relationship Id="rId18" Type="http://schemas.openxmlformats.org/officeDocument/2006/relationships/image" Target="https://gallery.mailchimp.com/86d41ab7fa4c7c2c5d7210782/images/cd088afd-0ac0-4498-8ed1-e4199bf882ce.png"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https://gallery.mailchimp.com/86d41ab7fa4c7c2c5d7210782/images/f5c0845f-f39c-425d-8d3c-deff11493c50.png" TargetMode="External"/><Relationship Id="rId7" Type="http://schemas.openxmlformats.org/officeDocument/2006/relationships/image" Target="http://psnc.org.uk/wp-content/uploads/2013/11/Newsletter-style-bar.png" TargetMode="External"/><Relationship Id="rId12" Type="http://schemas.openxmlformats.org/officeDocument/2006/relationships/image" Target="https://gallery.mailchimp.com/86d41ab7fa4c7c2c5d7210782/images/5acd9cf1-bdba-4039-b74f-638b444ff5d8.png"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snc.us7.list-manage.com/track/click?u=86d41ab7fa4c7c2c5d7210782&amp;id=79f2c9386f&amp;e=d19e9fd41c" TargetMode="External"/><Relationship Id="rId20" Type="http://schemas.openxmlformats.org/officeDocument/2006/relationships/image" Target="media/image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3.png"/><Relationship Id="rId24" Type="http://schemas.openxmlformats.org/officeDocument/2006/relationships/image" Target="https://psnc.us7.list-manage.com/track/open.php?u=86d41ab7fa4c7c2c5d7210782&amp;id=bedc52276a&amp;e=d19e9fd41c"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e1475f6b-1081-4509-ab25-9cd7f83d26b2.png" TargetMode="External"/><Relationship Id="rId23" Type="http://schemas.openxmlformats.org/officeDocument/2006/relationships/image" Target="media/image7.gif"/><Relationship Id="rId10" Type="http://schemas.openxmlformats.org/officeDocument/2006/relationships/hyperlink" Target="https://psnc.us7.list-manage.com/track/click?u=86d41ab7fa4c7c2c5d7210782&amp;id=15c5b088be&amp;e=d19e9fd41c" TargetMode="External"/><Relationship Id="rId19" Type="http://schemas.openxmlformats.org/officeDocument/2006/relationships/hyperlink" Target="https://psnc.us7.list-manage.com/track/click?u=86d41ab7fa4c7c2c5d7210782&amp;id=8135d7a0ed&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4b772701f2&amp;e=d19e9fd41c" TargetMode="External"/><Relationship Id="rId14" Type="http://schemas.openxmlformats.org/officeDocument/2006/relationships/image" Target="media/image4.png"/><Relationship Id="rId22" Type="http://schemas.openxmlformats.org/officeDocument/2006/relationships/hyperlink" Target="mailto:info@psn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2</cp:revision>
  <dcterms:created xsi:type="dcterms:W3CDTF">2021-12-06T09:35:00Z</dcterms:created>
  <dcterms:modified xsi:type="dcterms:W3CDTF">2021-12-06T09:38:00Z</dcterms:modified>
</cp:coreProperties>
</file>