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43BD3" w14:paraId="03F39E2B" w14:textId="77777777" w:rsidTr="00443BD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43BD3" w14:paraId="7661232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43BD3" w14:paraId="3FD1715D" w14:textId="77777777">
                    <w:trPr>
                      <w:tblCellSpacing w:w="0" w:type="dxa"/>
                      <w:jc w:val="center"/>
                    </w:trPr>
                    <w:tc>
                      <w:tcPr>
                        <w:tcW w:w="3000" w:type="dxa"/>
                        <w:hideMark/>
                      </w:tcPr>
                      <w:p w14:paraId="6F4EDF17" w14:textId="47262EDB" w:rsidR="00443BD3" w:rsidRDefault="00443BD3" w:rsidP="00443BD3">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0F6C7F0" w14:textId="77777777" w:rsidR="00443BD3" w:rsidRDefault="00443BD3">
                  <w:pPr>
                    <w:jc w:val="center"/>
                    <w:rPr>
                      <w:rFonts w:ascii="Times New Roman" w:eastAsia="Times New Roman" w:hAnsi="Times New Roman" w:cs="Times New Roman"/>
                      <w:sz w:val="20"/>
                      <w:szCs w:val="20"/>
                    </w:rPr>
                  </w:pPr>
                </w:p>
              </w:tc>
            </w:tr>
            <w:tr w:rsidR="00443BD3" w14:paraId="29B7D6A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43BD3" w14:paraId="2B11E2D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21F050E" w14:textId="5F2FA3AA" w:rsidR="00443BD3" w:rsidRDefault="00443BD3">
                        <w:pPr>
                          <w:jc w:val="center"/>
                          <w:rPr>
                            <w:rFonts w:eastAsia="Times New Roman"/>
                          </w:rPr>
                        </w:pPr>
                        <w:r>
                          <w:rPr>
                            <w:rFonts w:eastAsia="Times New Roman"/>
                            <w:noProof/>
                          </w:rPr>
                          <w:drawing>
                            <wp:inline distT="0" distB="0" distL="0" distR="0" wp14:anchorId="31228F78" wp14:editId="6F7B105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43BD3" w14:paraId="790B9AF8" w14:textId="77777777">
                    <w:trPr>
                      <w:tblCellSpacing w:w="0" w:type="dxa"/>
                    </w:trPr>
                    <w:tc>
                      <w:tcPr>
                        <w:tcW w:w="0" w:type="auto"/>
                        <w:vMerge/>
                        <w:tcBorders>
                          <w:top w:val="nil"/>
                          <w:left w:val="nil"/>
                          <w:bottom w:val="single" w:sz="2" w:space="0" w:color="FFFFFF"/>
                          <w:right w:val="nil"/>
                        </w:tcBorders>
                        <w:vAlign w:val="center"/>
                        <w:hideMark/>
                      </w:tcPr>
                      <w:p w14:paraId="6839575B" w14:textId="77777777" w:rsidR="00443BD3" w:rsidRDefault="00443BD3">
                        <w:pPr>
                          <w:rPr>
                            <w:rFonts w:eastAsia="Times New Roman"/>
                          </w:rPr>
                        </w:pPr>
                      </w:p>
                    </w:tc>
                    <w:tc>
                      <w:tcPr>
                        <w:tcW w:w="3450" w:type="dxa"/>
                        <w:tcBorders>
                          <w:top w:val="nil"/>
                          <w:left w:val="nil"/>
                          <w:bottom w:val="nil"/>
                          <w:right w:val="nil"/>
                        </w:tcBorders>
                        <w:vAlign w:val="center"/>
                        <w:hideMark/>
                      </w:tcPr>
                      <w:p w14:paraId="7AD92FCC" w14:textId="77777777" w:rsidR="00443BD3" w:rsidRDefault="00443BD3">
                        <w:pPr>
                          <w:pStyle w:val="Heading1"/>
                          <w:rPr>
                            <w:rFonts w:eastAsia="Times New Roman"/>
                          </w:rPr>
                        </w:pPr>
                        <w:r>
                          <w:rPr>
                            <w:rFonts w:eastAsia="Times New Roman"/>
                          </w:rPr>
                          <w:t>PSNC Newsletter</w:t>
                        </w:r>
                      </w:p>
                    </w:tc>
                  </w:tr>
                  <w:tr w:rsidR="00443BD3" w14:paraId="74A403F0" w14:textId="77777777">
                    <w:trPr>
                      <w:tblCellSpacing w:w="0" w:type="dxa"/>
                    </w:trPr>
                    <w:tc>
                      <w:tcPr>
                        <w:tcW w:w="0" w:type="auto"/>
                        <w:vMerge/>
                        <w:tcBorders>
                          <w:top w:val="nil"/>
                          <w:left w:val="nil"/>
                          <w:bottom w:val="single" w:sz="2" w:space="0" w:color="FFFFFF"/>
                          <w:right w:val="nil"/>
                        </w:tcBorders>
                        <w:vAlign w:val="center"/>
                        <w:hideMark/>
                      </w:tcPr>
                      <w:p w14:paraId="4D4511A8" w14:textId="77777777" w:rsidR="00443BD3" w:rsidRDefault="00443BD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DC333B8" w14:textId="77777777" w:rsidR="00443BD3" w:rsidRDefault="00443BD3">
                        <w:pPr>
                          <w:pStyle w:val="Heading2"/>
                          <w:rPr>
                            <w:rFonts w:eastAsia="Times New Roman"/>
                            <w:color w:val="93378A"/>
                          </w:rPr>
                        </w:pPr>
                        <w:r>
                          <w:rPr>
                            <w:rFonts w:eastAsia="Times New Roman"/>
                            <w:color w:val="93378A"/>
                          </w:rPr>
                          <w:t>Friday 12th November 2021</w:t>
                        </w:r>
                      </w:p>
                    </w:tc>
                  </w:tr>
                </w:tbl>
                <w:p w14:paraId="5338162E" w14:textId="77777777" w:rsidR="00443BD3" w:rsidRDefault="00443BD3">
                  <w:pPr>
                    <w:rPr>
                      <w:rFonts w:ascii="Times New Roman" w:eastAsia="Times New Roman" w:hAnsi="Times New Roman" w:cs="Times New Roman"/>
                      <w:sz w:val="20"/>
                      <w:szCs w:val="20"/>
                    </w:rPr>
                  </w:pPr>
                </w:p>
              </w:tc>
            </w:tr>
            <w:tr w:rsidR="00443BD3" w14:paraId="1336A289" w14:textId="77777777">
              <w:tblPrEx>
                <w:shd w:val="clear" w:color="auto" w:fill="auto"/>
              </w:tblPrEx>
              <w:trPr>
                <w:tblCellSpacing w:w="0" w:type="dxa"/>
                <w:jc w:val="center"/>
              </w:trPr>
              <w:tc>
                <w:tcPr>
                  <w:tcW w:w="9000" w:type="dxa"/>
                  <w:hideMark/>
                </w:tcPr>
                <w:p w14:paraId="0CB191E4" w14:textId="0CD16CA1" w:rsidR="00443BD3" w:rsidRDefault="00443BD3">
                  <w:pPr>
                    <w:rPr>
                      <w:rFonts w:eastAsia="Times New Roman"/>
                    </w:rPr>
                  </w:pPr>
                  <w:r>
                    <w:rPr>
                      <w:rFonts w:eastAsia="Times New Roman"/>
                      <w:noProof/>
                    </w:rPr>
                    <w:drawing>
                      <wp:inline distT="0" distB="0" distL="0" distR="0" wp14:anchorId="15E6C3CA" wp14:editId="50F61D5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43BD3" w14:paraId="20150BE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43BD3" w14:paraId="296D37C5" w14:textId="77777777">
                    <w:trPr>
                      <w:trHeight w:val="150"/>
                      <w:tblCellSpacing w:w="15" w:type="dxa"/>
                      <w:jc w:val="center"/>
                    </w:trPr>
                    <w:tc>
                      <w:tcPr>
                        <w:tcW w:w="150" w:type="dxa"/>
                        <w:vAlign w:val="center"/>
                        <w:hideMark/>
                      </w:tcPr>
                      <w:p w14:paraId="320618EB" w14:textId="77777777" w:rsidR="00443BD3" w:rsidRDefault="00443BD3" w:rsidP="00443BD3">
                        <w:pPr>
                          <w:rPr>
                            <w:rFonts w:eastAsia="Times New Roman"/>
                          </w:rPr>
                        </w:pPr>
                      </w:p>
                    </w:tc>
                    <w:tc>
                      <w:tcPr>
                        <w:tcW w:w="8700" w:type="dxa"/>
                        <w:vAlign w:val="center"/>
                        <w:hideMark/>
                      </w:tcPr>
                      <w:p w14:paraId="2EF6BD39" w14:textId="77777777" w:rsidR="00443BD3" w:rsidRDefault="00443BD3" w:rsidP="00443BD3">
                        <w:pPr>
                          <w:rPr>
                            <w:rFonts w:ascii="Times New Roman" w:eastAsia="Times New Roman" w:hAnsi="Times New Roman" w:cs="Times New Roman"/>
                            <w:sz w:val="20"/>
                            <w:szCs w:val="20"/>
                          </w:rPr>
                        </w:pPr>
                      </w:p>
                    </w:tc>
                    <w:tc>
                      <w:tcPr>
                        <w:tcW w:w="150" w:type="dxa"/>
                        <w:vAlign w:val="center"/>
                        <w:hideMark/>
                      </w:tcPr>
                      <w:p w14:paraId="4AC602FB" w14:textId="77777777" w:rsidR="00443BD3" w:rsidRDefault="00443BD3" w:rsidP="00443BD3">
                        <w:pPr>
                          <w:rPr>
                            <w:rFonts w:ascii="Times New Roman" w:eastAsia="Times New Roman" w:hAnsi="Times New Roman" w:cs="Times New Roman"/>
                            <w:sz w:val="20"/>
                            <w:szCs w:val="20"/>
                          </w:rPr>
                        </w:pPr>
                      </w:p>
                    </w:tc>
                  </w:tr>
                  <w:tr w:rsidR="00443BD3" w14:paraId="2B0C85E9" w14:textId="77777777">
                    <w:trPr>
                      <w:tblCellSpacing w:w="15" w:type="dxa"/>
                      <w:jc w:val="center"/>
                    </w:trPr>
                    <w:tc>
                      <w:tcPr>
                        <w:tcW w:w="150" w:type="dxa"/>
                        <w:vAlign w:val="center"/>
                        <w:hideMark/>
                      </w:tcPr>
                      <w:p w14:paraId="5E013936" w14:textId="77777777" w:rsidR="00443BD3" w:rsidRDefault="00443BD3" w:rsidP="00443BD3">
                        <w:pPr>
                          <w:rPr>
                            <w:rFonts w:ascii="Times New Roman" w:eastAsia="Times New Roman" w:hAnsi="Times New Roman" w:cs="Times New Roman"/>
                            <w:sz w:val="20"/>
                            <w:szCs w:val="20"/>
                          </w:rPr>
                        </w:pPr>
                      </w:p>
                    </w:tc>
                    <w:tc>
                      <w:tcPr>
                        <w:tcW w:w="8700" w:type="dxa"/>
                        <w:vAlign w:val="center"/>
                        <w:hideMark/>
                      </w:tcPr>
                      <w:p w14:paraId="6FFCB2BE" w14:textId="77777777"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C6212F7" w14:textId="77777777"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pict w14:anchorId="50F1E403">
                            <v:rect id="_x0000_i1032" style="width:468pt;height:1.5pt" o:hrstd="t" o:hr="t" fillcolor="#a0a0a0" stroked="f"/>
                          </w:pict>
                        </w:r>
                      </w:p>
                      <w:p w14:paraId="697E75F4" w14:textId="77777777" w:rsidR="00443BD3" w:rsidRDefault="00443BD3" w:rsidP="00443BD3">
                        <w:pPr>
                          <w:pStyle w:val="Heading2"/>
                          <w:spacing w:after="0" w:line="240" w:lineRule="auto"/>
                          <w:rPr>
                            <w:rFonts w:eastAsia="Times New Roman"/>
                          </w:rPr>
                        </w:pPr>
                        <w:r>
                          <w:rPr>
                            <w:rFonts w:eastAsia="Times New Roman"/>
                          </w:rPr>
                          <w:t>In this update: Pharmacies benefit from earlier advance payment timetable; DHSC consultation updates; PPV activity for OOP; SSP05 extended; Self Care week.</w:t>
                        </w:r>
                      </w:p>
                      <w:p w14:paraId="338004E2" w14:textId="77777777"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pict w14:anchorId="6AC539CE">
                            <v:rect id="_x0000_i1033" style="width:468pt;height:1.5pt" o:hrstd="t" o:hr="t" fillcolor="#a0a0a0" stroked="f"/>
                          </w:pict>
                        </w:r>
                      </w:p>
                      <w:p w14:paraId="51481383" w14:textId="77777777" w:rsidR="00443BD3" w:rsidRDefault="00443BD3" w:rsidP="00443BD3">
                        <w:pPr>
                          <w:pStyle w:val="Heading3"/>
                          <w:spacing w:after="0" w:line="240" w:lineRule="auto"/>
                          <w:rPr>
                            <w:rFonts w:eastAsia="Times New Roman"/>
                          </w:rPr>
                        </w:pPr>
                        <w:r>
                          <w:rPr>
                            <w:rFonts w:eastAsia="Times New Roman"/>
                          </w:rPr>
                          <w:t>Over half of all pharmacies benefit from new earlier advance payment timetable</w:t>
                        </w:r>
                      </w:p>
                      <w:p w14:paraId="55217862" w14:textId="47734F79"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t xml:space="preserve">Over 6,000 community pharmacy contractors who declared their October 2021 FP34C submission figures through the </w:t>
                        </w:r>
                        <w:hyperlink r:id="rId8" w:history="1">
                          <w:r>
                            <w:rPr>
                              <w:rStyle w:val="Hyperlink"/>
                              <w:rFonts w:ascii="Tahoma" w:eastAsia="Times New Roman" w:hAnsi="Tahoma" w:cs="Tahoma"/>
                              <w:b/>
                              <w:bCs/>
                              <w:color w:val="4E3487"/>
                              <w:sz w:val="21"/>
                              <w:szCs w:val="21"/>
                            </w:rPr>
                            <w:t>Manage Your Service (MYS) portal</w:t>
                          </w:r>
                        </w:hyperlink>
                        <w:r>
                          <w:rPr>
                            <w:rFonts w:ascii="Tahoma" w:eastAsia="Times New Roman" w:hAnsi="Tahoma" w:cs="Tahoma"/>
                            <w:color w:val="303030"/>
                            <w:sz w:val="21"/>
                            <w:szCs w:val="21"/>
                          </w:rPr>
                          <w:t xml:space="preserve"> by 5th November will have received earlier advance payments on the 11th November (circa 20 days earlier than the normal advance payment timetable). All contractors who received earlier advance payments should receive a letter from the NHS Business Services Authority (NHSBSA) regarding these payments.</w:t>
                        </w:r>
                        <w:r>
                          <w:rPr>
                            <w:rFonts w:ascii="Tahoma" w:eastAsia="Times New Roman" w:hAnsi="Tahoma" w:cs="Tahoma"/>
                            <w:color w:val="303030"/>
                            <w:sz w:val="21"/>
                            <w:szCs w:val="21"/>
                          </w:rPr>
                          <w:br/>
                        </w:r>
                        <w:r>
                          <w:rPr>
                            <w:rFonts w:ascii="Tahoma" w:eastAsia="Times New Roman" w:hAnsi="Tahoma" w:cs="Tahoma"/>
                            <w:color w:val="303030"/>
                            <w:sz w:val="21"/>
                            <w:szCs w:val="21"/>
                          </w:rPr>
                          <w:br/>
                          <w:t>Contractors who submitted their October FP34C through MYS late (after 5th November) or used the revised paper FP34C submission document to declare their October figures will receive their advance payments in accordance with the normal payment timetable i.e. on 1st December 2021.</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001421BF" w14:textId="77777777"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pict w14:anchorId="2B477133">
                            <v:rect id="_x0000_i1034" style="width:468pt;height:1.5pt" o:hrstd="t" o:hr="t" fillcolor="#a0a0a0" stroked="f"/>
                          </w:pict>
                        </w:r>
                      </w:p>
                      <w:p w14:paraId="1F5F3D35" w14:textId="77777777" w:rsidR="00443BD3" w:rsidRDefault="00443BD3" w:rsidP="00443BD3">
                        <w:pPr>
                          <w:pStyle w:val="Heading3"/>
                          <w:spacing w:after="0" w:line="240" w:lineRule="auto"/>
                          <w:rPr>
                            <w:rFonts w:eastAsia="Times New Roman"/>
                          </w:rPr>
                        </w:pPr>
                        <w:r>
                          <w:rPr>
                            <w:rFonts w:eastAsia="Times New Roman"/>
                          </w:rPr>
                          <w:t>DHSC consultation updates</w:t>
                        </w:r>
                      </w:p>
                      <w:p w14:paraId="23BBE32A" w14:textId="033D5F35"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this week launched a consultation on original pack dispensing and responded to another on hub and spoke.</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Original Pack Dispensing consultation</w:t>
                        </w:r>
                        <w:r>
                          <w:rPr>
                            <w:rFonts w:ascii="Tahoma" w:eastAsia="Times New Roman" w:hAnsi="Tahoma" w:cs="Tahoma"/>
                            <w:color w:val="303030"/>
                            <w:sz w:val="21"/>
                            <w:szCs w:val="21"/>
                          </w:rPr>
                          <w:br/>
                          <w:t xml:space="preserve">DHSC has started a consultation on proposals to allow pharmacists to dispense prescription medicines in their original packaging. The consultation proposes regulatory changes that would give pharmacists the flexibility to dispense (up to 10%) more or less than the prescribed quantity of a medicine, if this means that they can dispense it in the manufacturer’s original packs. </w:t>
                        </w:r>
                      </w:p>
                      <w:p w14:paraId="7A067941" w14:textId="77777777" w:rsidR="00443BD3" w:rsidRDefault="00443BD3" w:rsidP="00443BD3">
                        <w:pPr>
                          <w:pStyle w:val="NormalWeb"/>
                          <w:spacing w:before="0" w:beforeAutospacing="0" w:after="0" w:afterAutospacing="0"/>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the consultation</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2016 hub and spoke consultation</w:t>
                        </w:r>
                        <w:r>
                          <w:rPr>
                            <w:rFonts w:ascii="Tahoma" w:hAnsi="Tahoma" w:cs="Tahoma"/>
                            <w:color w:val="303030"/>
                            <w:sz w:val="21"/>
                            <w:szCs w:val="21"/>
                          </w:rPr>
                          <w:br/>
                        </w:r>
                        <w:r>
                          <w:rPr>
                            <w:rFonts w:ascii="Tahoma" w:hAnsi="Tahoma" w:cs="Tahoma"/>
                            <w:color w:val="303030"/>
                            <w:sz w:val="21"/>
                            <w:szCs w:val="21"/>
                          </w:rPr>
                          <w:br/>
                          <w:t xml:space="preserve">DHSC has published its response to the 2016 consultation on hub and spoke. The response explains why DHSC did not pursue hub and spoke at the </w:t>
                        </w:r>
                        <w:proofErr w:type="gramStart"/>
                        <w:r>
                          <w:rPr>
                            <w:rFonts w:ascii="Tahoma" w:hAnsi="Tahoma" w:cs="Tahoma"/>
                            <w:color w:val="303030"/>
                            <w:sz w:val="21"/>
                            <w:szCs w:val="21"/>
                          </w:rPr>
                          <w:t>time, and</w:t>
                        </w:r>
                        <w:proofErr w:type="gramEnd"/>
                        <w:r>
                          <w:rPr>
                            <w:rFonts w:ascii="Tahoma" w:hAnsi="Tahoma" w:cs="Tahoma"/>
                            <w:color w:val="303030"/>
                            <w:sz w:val="21"/>
                            <w:szCs w:val="21"/>
                          </w:rPr>
                          <w:t> paves the way for a new consultation on hub and spoke in 2021 or 2022, which is expected following significant engagement on the issue by DHSC with key stakeholders, including community pharmacy. </w:t>
                        </w:r>
                        <w:r>
                          <w:rPr>
                            <w:rFonts w:ascii="Tahoma" w:hAnsi="Tahoma" w:cs="Tahoma"/>
                            <w:color w:val="303030"/>
                            <w:sz w:val="21"/>
                            <w:szCs w:val="21"/>
                          </w:rPr>
                          <w:br/>
                        </w:r>
                        <w:r>
                          <w:rPr>
                            <w:rFonts w:ascii="Tahoma" w:hAnsi="Tahoma" w:cs="Tahoma"/>
                            <w:color w:val="303030"/>
                            <w:sz w:val="21"/>
                            <w:szCs w:val="21"/>
                          </w:rPr>
                          <w:lastRenderedPageBreak/>
                          <w:br/>
                        </w:r>
                        <w:hyperlink r:id="rId11" w:tgtFrame="_blank" w:history="1">
                          <w:r>
                            <w:rPr>
                              <w:rStyle w:val="Hyperlink"/>
                              <w:rFonts w:ascii="Tahoma" w:hAnsi="Tahoma" w:cs="Tahoma"/>
                              <w:b/>
                              <w:bCs/>
                              <w:color w:val="4E3487"/>
                              <w:sz w:val="21"/>
                              <w:szCs w:val="21"/>
                            </w:rPr>
                            <w:t>Read the consultation response</w:t>
                          </w:r>
                        </w:hyperlink>
                      </w:p>
                      <w:p w14:paraId="656698E3" w14:textId="77777777"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pict w14:anchorId="6ECE7197">
                            <v:rect id="_x0000_i1035" style="width:468pt;height:1.5pt" o:hrstd="t" o:hr="t" fillcolor="#a0a0a0" stroked="f"/>
                          </w:pict>
                        </w:r>
                      </w:p>
                      <w:p w14:paraId="2C043A6C" w14:textId="77777777" w:rsidR="00443BD3" w:rsidRDefault="00443BD3" w:rsidP="00443BD3">
                        <w:pPr>
                          <w:pStyle w:val="Heading3"/>
                          <w:spacing w:after="0" w:line="240" w:lineRule="auto"/>
                          <w:rPr>
                            <w:rFonts w:eastAsia="Times New Roman"/>
                          </w:rPr>
                        </w:pPr>
                        <w:r>
                          <w:rPr>
                            <w:rFonts w:eastAsia="Times New Roman"/>
                          </w:rPr>
                          <w:t xml:space="preserve">Post Payment Verification for </w:t>
                        </w:r>
                        <w:proofErr w:type="gramStart"/>
                        <w:r>
                          <w:rPr>
                            <w:rFonts w:eastAsia="Times New Roman"/>
                          </w:rPr>
                          <w:t>out of pocket</w:t>
                        </w:r>
                        <w:proofErr w:type="gramEnd"/>
                        <w:r>
                          <w:rPr>
                            <w:rFonts w:eastAsia="Times New Roman"/>
                          </w:rPr>
                          <w:t> expense claims</w:t>
                        </w:r>
                      </w:p>
                      <w:p w14:paraId="394201AC" w14:textId="7E2C4419"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t xml:space="preserve">In the latest NHS Primary Care Bulletin, it was announced that the NHSBSA is reviewing claims submitted for </w:t>
                        </w:r>
                        <w:proofErr w:type="gramStart"/>
                        <w:r>
                          <w:rPr>
                            <w:rFonts w:ascii="Tahoma" w:eastAsia="Times New Roman" w:hAnsi="Tahoma" w:cs="Tahoma"/>
                            <w:color w:val="303030"/>
                            <w:sz w:val="21"/>
                            <w:szCs w:val="21"/>
                          </w:rPr>
                          <w:t>out of pocket</w:t>
                        </w:r>
                        <w:proofErr w:type="gramEnd"/>
                        <w:r>
                          <w:rPr>
                            <w:rFonts w:ascii="Tahoma" w:eastAsia="Times New Roman" w:hAnsi="Tahoma" w:cs="Tahoma"/>
                            <w:color w:val="303030"/>
                            <w:sz w:val="21"/>
                            <w:szCs w:val="21"/>
                          </w:rPr>
                          <w:t xml:space="preserve"> expenses (OOPE) between February 2019 - January 2020 and February 2020 - January 2021. Those pharmacies selected as part of the review, will shortly be contacted by the NHSBSA’s Provider Assurance team, who will ask these pharmacies to review their claims.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and read PSNC's OOPE guidance</w:t>
                          </w:r>
                        </w:hyperlink>
                        <w:r>
                          <w:rPr>
                            <w:rFonts w:ascii="Tahoma" w:eastAsia="Times New Roman" w:hAnsi="Tahoma" w:cs="Tahoma"/>
                            <w:color w:val="303030"/>
                            <w:sz w:val="21"/>
                            <w:szCs w:val="21"/>
                          </w:rPr>
                          <w:t xml:space="preserve"> </w:t>
                        </w:r>
                      </w:p>
                      <w:p w14:paraId="3447056B" w14:textId="77777777"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pict w14:anchorId="00E89350">
                            <v:rect id="_x0000_i1036" style="width:468pt;height:1.5pt" o:hrstd="t" o:hr="t" fillcolor="#a0a0a0" stroked="f"/>
                          </w:pict>
                        </w:r>
                      </w:p>
                      <w:p w14:paraId="23A79CDC" w14:textId="77777777" w:rsidR="00443BD3" w:rsidRDefault="00443BD3" w:rsidP="00443BD3">
                        <w:pPr>
                          <w:pStyle w:val="Heading3"/>
                          <w:spacing w:after="0" w:line="240" w:lineRule="auto"/>
                          <w:rPr>
                            <w:rFonts w:eastAsia="Times New Roman"/>
                          </w:rPr>
                        </w:pPr>
                        <w:r>
                          <w:rPr>
                            <w:rFonts w:eastAsia="Times New Roman"/>
                          </w:rPr>
                          <w:t>SSP for Fluoxetine 10mg tablets extended</w:t>
                        </w:r>
                      </w:p>
                      <w:p w14:paraId="7039663B" w14:textId="42A2E4B1"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t>DHSC has announced that the Serious Shortage Protocol (SSP) for Fluoxetine 10mg tablets (SSP05) has been further extended to </w:t>
                        </w:r>
                        <w:r>
                          <w:rPr>
                            <w:rStyle w:val="Strong"/>
                            <w:rFonts w:ascii="Tahoma" w:eastAsia="Times New Roman" w:hAnsi="Tahoma" w:cs="Tahoma"/>
                            <w:color w:val="303030"/>
                            <w:sz w:val="21"/>
                            <w:szCs w:val="21"/>
                          </w:rPr>
                          <w:t>Friday 11th February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 about SSPs</w:t>
                          </w:r>
                        </w:hyperlink>
                        <w:r>
                          <w:rPr>
                            <w:rFonts w:ascii="Tahoma" w:eastAsia="Times New Roman" w:hAnsi="Tahoma" w:cs="Tahoma"/>
                            <w:color w:val="303030"/>
                            <w:sz w:val="21"/>
                            <w:szCs w:val="21"/>
                          </w:rPr>
                          <w:t xml:space="preserve"> </w:t>
                        </w:r>
                      </w:p>
                      <w:p w14:paraId="6513DC1E" w14:textId="77777777" w:rsidR="00443BD3" w:rsidRDefault="00443BD3" w:rsidP="00443BD3">
                        <w:pPr>
                          <w:rPr>
                            <w:rFonts w:ascii="Tahoma" w:eastAsia="Times New Roman" w:hAnsi="Tahoma" w:cs="Tahoma"/>
                            <w:color w:val="303030"/>
                            <w:sz w:val="21"/>
                            <w:szCs w:val="21"/>
                          </w:rPr>
                        </w:pPr>
                        <w:r>
                          <w:rPr>
                            <w:rFonts w:ascii="Tahoma" w:eastAsia="Times New Roman" w:hAnsi="Tahoma" w:cs="Tahoma"/>
                            <w:color w:val="303030"/>
                            <w:sz w:val="21"/>
                            <w:szCs w:val="21"/>
                          </w:rPr>
                          <w:pict w14:anchorId="75681570">
                            <v:rect id="_x0000_i1037" style="width:468pt;height:1.5pt" o:hrstd="t" o:hr="t" fillcolor="#a0a0a0" stroked="f"/>
                          </w:pict>
                        </w:r>
                      </w:p>
                      <w:p w14:paraId="45F06050" w14:textId="77777777" w:rsidR="00443BD3" w:rsidRDefault="00443BD3" w:rsidP="00443BD3">
                        <w:pPr>
                          <w:pStyle w:val="Heading3"/>
                          <w:spacing w:after="0" w:line="240" w:lineRule="auto"/>
                          <w:rPr>
                            <w:rFonts w:eastAsia="Times New Roman"/>
                          </w:rPr>
                        </w:pPr>
                        <w:proofErr w:type="spellStart"/>
                        <w:r>
                          <w:rPr>
                            <w:rFonts w:eastAsia="Times New Roman"/>
                          </w:rPr>
                          <w:t>Self Care</w:t>
                        </w:r>
                        <w:proofErr w:type="spellEnd"/>
                        <w:r>
                          <w:rPr>
                            <w:rFonts w:eastAsia="Times New Roman"/>
                          </w:rPr>
                          <w:t xml:space="preserve"> Week 2021</w:t>
                        </w:r>
                      </w:p>
                      <w:p w14:paraId="31ABA8BE" w14:textId="5C51A139" w:rsidR="00443BD3" w:rsidRDefault="00443BD3" w:rsidP="00443BD3">
                        <w:pPr>
                          <w:rPr>
                            <w:rFonts w:ascii="Tahoma" w:eastAsia="Times New Roman" w:hAnsi="Tahoma" w:cs="Tahoma"/>
                            <w:color w:val="303030"/>
                            <w:sz w:val="21"/>
                            <w:szCs w:val="21"/>
                          </w:rPr>
                        </w:pPr>
                        <w:proofErr w:type="spellStart"/>
                        <w:r>
                          <w:rPr>
                            <w:rFonts w:ascii="Tahoma" w:eastAsia="Times New Roman" w:hAnsi="Tahoma" w:cs="Tahoma"/>
                            <w:color w:val="303030"/>
                            <w:sz w:val="21"/>
                            <w:szCs w:val="21"/>
                          </w:rPr>
                          <w:t>Self Care</w:t>
                        </w:r>
                        <w:proofErr w:type="spellEnd"/>
                        <w:r>
                          <w:rPr>
                            <w:rFonts w:ascii="Tahoma" w:eastAsia="Times New Roman" w:hAnsi="Tahoma" w:cs="Tahoma"/>
                            <w:color w:val="303030"/>
                            <w:sz w:val="21"/>
                            <w:szCs w:val="21"/>
                          </w:rPr>
                          <w:t xml:space="preserve"> Week will launch at midday on Monday (</w:t>
                        </w:r>
                        <w:r>
                          <w:rPr>
                            <w:rStyle w:val="Strong"/>
                            <w:rFonts w:ascii="Tahoma" w:eastAsia="Times New Roman" w:hAnsi="Tahoma" w:cs="Tahoma"/>
                            <w:color w:val="303030"/>
                            <w:sz w:val="21"/>
                            <w:szCs w:val="21"/>
                          </w:rPr>
                          <w:t>15th November</w:t>
                        </w:r>
                        <w:r>
                          <w:rPr>
                            <w:rFonts w:ascii="Tahoma" w:eastAsia="Times New Roman" w:hAnsi="Tahoma" w:cs="Tahoma"/>
                            <w:color w:val="303030"/>
                            <w:sz w:val="21"/>
                            <w:szCs w:val="21"/>
                          </w:rPr>
                          <w:t xml:space="preserve">) with a </w:t>
                        </w:r>
                        <w:proofErr w:type="spellStart"/>
                        <w:r>
                          <w:rPr>
                            <w:rFonts w:ascii="Tahoma" w:eastAsia="Times New Roman" w:hAnsi="Tahoma" w:cs="Tahoma"/>
                            <w:color w:val="303030"/>
                            <w:sz w:val="21"/>
                            <w:szCs w:val="21"/>
                          </w:rPr>
                          <w:t>twitterchat</w:t>
                        </w:r>
                        <w:proofErr w:type="spellEnd"/>
                        <w:r>
                          <w:rPr>
                            <w:rFonts w:ascii="Tahoma" w:eastAsia="Times New Roman" w:hAnsi="Tahoma" w:cs="Tahoma"/>
                            <w:color w:val="303030"/>
                            <w:sz w:val="21"/>
                            <w:szCs w:val="21"/>
                          </w:rPr>
                          <w:t xml:space="preserve"> discussion about the importance of </w:t>
                        </w:r>
                        <w:proofErr w:type="spellStart"/>
                        <w:r>
                          <w:rPr>
                            <w:rFonts w:ascii="Tahoma" w:eastAsia="Times New Roman" w:hAnsi="Tahoma" w:cs="Tahoma"/>
                            <w:color w:val="303030"/>
                            <w:sz w:val="21"/>
                            <w:szCs w:val="21"/>
                          </w:rPr>
                          <w:t>self care</w:t>
                        </w:r>
                        <w:proofErr w:type="spellEnd"/>
                        <w:r>
                          <w:rPr>
                            <w:rFonts w:ascii="Tahoma" w:eastAsia="Times New Roman" w:hAnsi="Tahoma" w:cs="Tahoma"/>
                            <w:color w:val="303030"/>
                            <w:sz w:val="21"/>
                            <w:szCs w:val="21"/>
                          </w:rPr>
                          <w:t>. Guest tweeters will include representatives from The Patient's Association, NHSE&amp;I, the World Health Organization (WHO),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Find out how your team can get involved</w:t>
                          </w:r>
                        </w:hyperlink>
                      </w:p>
                    </w:tc>
                    <w:tc>
                      <w:tcPr>
                        <w:tcW w:w="150" w:type="dxa"/>
                        <w:vAlign w:val="center"/>
                        <w:hideMark/>
                      </w:tcPr>
                      <w:p w14:paraId="21754609" w14:textId="77777777" w:rsidR="00443BD3" w:rsidRDefault="00443BD3" w:rsidP="00443BD3">
                        <w:pPr>
                          <w:rPr>
                            <w:rFonts w:ascii="Tahoma" w:eastAsia="Times New Roman" w:hAnsi="Tahoma" w:cs="Tahoma"/>
                            <w:color w:val="303030"/>
                            <w:sz w:val="21"/>
                            <w:szCs w:val="21"/>
                          </w:rPr>
                        </w:pPr>
                      </w:p>
                    </w:tc>
                  </w:tr>
                  <w:tr w:rsidR="00443BD3" w14:paraId="45E4B79D" w14:textId="77777777">
                    <w:trPr>
                      <w:trHeight w:val="150"/>
                      <w:tblCellSpacing w:w="15" w:type="dxa"/>
                      <w:jc w:val="center"/>
                    </w:trPr>
                    <w:tc>
                      <w:tcPr>
                        <w:tcW w:w="150" w:type="dxa"/>
                        <w:vAlign w:val="center"/>
                        <w:hideMark/>
                      </w:tcPr>
                      <w:p w14:paraId="1A7A0FCB" w14:textId="77777777" w:rsidR="00443BD3" w:rsidRDefault="00443BD3" w:rsidP="00443BD3">
                        <w:pPr>
                          <w:rPr>
                            <w:rFonts w:ascii="Times New Roman" w:eastAsia="Times New Roman" w:hAnsi="Times New Roman" w:cs="Times New Roman"/>
                            <w:sz w:val="20"/>
                            <w:szCs w:val="20"/>
                          </w:rPr>
                        </w:pPr>
                      </w:p>
                    </w:tc>
                    <w:tc>
                      <w:tcPr>
                        <w:tcW w:w="8700" w:type="dxa"/>
                        <w:vAlign w:val="center"/>
                        <w:hideMark/>
                      </w:tcPr>
                      <w:p w14:paraId="57BC918C" w14:textId="77777777" w:rsidR="00443BD3" w:rsidRDefault="00443BD3" w:rsidP="00443BD3">
                        <w:pPr>
                          <w:rPr>
                            <w:rFonts w:ascii="Times New Roman" w:eastAsia="Times New Roman" w:hAnsi="Times New Roman" w:cs="Times New Roman"/>
                            <w:sz w:val="20"/>
                            <w:szCs w:val="20"/>
                          </w:rPr>
                        </w:pPr>
                      </w:p>
                    </w:tc>
                    <w:tc>
                      <w:tcPr>
                        <w:tcW w:w="150" w:type="dxa"/>
                        <w:vAlign w:val="center"/>
                        <w:hideMark/>
                      </w:tcPr>
                      <w:p w14:paraId="7828878A" w14:textId="77777777" w:rsidR="00443BD3" w:rsidRDefault="00443BD3" w:rsidP="00443BD3">
                        <w:pPr>
                          <w:rPr>
                            <w:rFonts w:ascii="Times New Roman" w:eastAsia="Times New Roman" w:hAnsi="Times New Roman" w:cs="Times New Roman"/>
                            <w:sz w:val="20"/>
                            <w:szCs w:val="20"/>
                          </w:rPr>
                        </w:pPr>
                      </w:p>
                    </w:tc>
                  </w:tr>
                </w:tbl>
                <w:p w14:paraId="7264CCE3" w14:textId="77777777" w:rsidR="00443BD3" w:rsidRDefault="00443BD3" w:rsidP="00443BD3">
                  <w:pPr>
                    <w:rPr>
                      <w:rFonts w:ascii="Times New Roman" w:eastAsia="Times New Roman" w:hAnsi="Times New Roman" w:cs="Times New Roman"/>
                      <w:sz w:val="20"/>
                      <w:szCs w:val="20"/>
                    </w:rPr>
                  </w:pPr>
                </w:p>
              </w:tc>
            </w:tr>
          </w:tbl>
          <w:p w14:paraId="6276D5C4" w14:textId="77777777" w:rsidR="00443BD3" w:rsidRDefault="00443BD3">
            <w:pPr>
              <w:jc w:val="center"/>
              <w:rPr>
                <w:rFonts w:ascii="Times New Roman" w:eastAsia="Times New Roman" w:hAnsi="Times New Roman" w:cs="Times New Roman"/>
                <w:sz w:val="20"/>
                <w:szCs w:val="20"/>
              </w:rPr>
            </w:pPr>
          </w:p>
        </w:tc>
      </w:tr>
      <w:tr w:rsidR="00443BD3" w14:paraId="765609AF" w14:textId="77777777" w:rsidTr="00443BD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43BD3" w14:paraId="13004C3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43BD3" w14:paraId="189DC3FA" w14:textId="77777777">
                    <w:trPr>
                      <w:tblCellSpacing w:w="0" w:type="dxa"/>
                      <w:jc w:val="center"/>
                    </w:trPr>
                    <w:tc>
                      <w:tcPr>
                        <w:tcW w:w="3000" w:type="dxa"/>
                        <w:tcMar>
                          <w:top w:w="30" w:type="dxa"/>
                          <w:left w:w="75" w:type="dxa"/>
                          <w:bottom w:w="30" w:type="dxa"/>
                          <w:right w:w="75" w:type="dxa"/>
                        </w:tcMar>
                        <w:hideMark/>
                      </w:tcPr>
                      <w:p w14:paraId="3407828E" w14:textId="77777777" w:rsidR="00443BD3" w:rsidRDefault="00443BD3">
                        <w:pPr>
                          <w:pStyle w:val="Heading4"/>
                          <w:jc w:val="center"/>
                          <w:rPr>
                            <w:rFonts w:eastAsia="Times New Roman"/>
                          </w:rPr>
                        </w:pPr>
                        <w:r>
                          <w:rPr>
                            <w:rFonts w:eastAsia="Times New Roman"/>
                          </w:rPr>
                          <w:lastRenderedPageBreak/>
                          <w:t>Pharmaceutical Services Negotiating Committee</w:t>
                        </w:r>
                      </w:p>
                      <w:p w14:paraId="1F285E80" w14:textId="6F3DD9F7" w:rsidR="00443BD3" w:rsidRDefault="00443BD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50B5E6E" wp14:editId="279A8DC7">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3260D4" wp14:editId="50965131">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7B967B3" wp14:editId="68797DDC">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ECC3132" wp14:editId="0FE26EAD">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ABE10F7" w14:textId="77777777" w:rsidR="00443BD3" w:rsidRDefault="00443BD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43BD3" w14:paraId="38F24BD1" w14:textId="77777777" w:rsidTr="00443BD3">
                    <w:trPr>
                      <w:trHeight w:val="29"/>
                      <w:tblCellSpacing w:w="0" w:type="dxa"/>
                      <w:jc w:val="center"/>
                    </w:trPr>
                    <w:tc>
                      <w:tcPr>
                        <w:tcW w:w="9000" w:type="dxa"/>
                        <w:tcMar>
                          <w:top w:w="150" w:type="dxa"/>
                          <w:left w:w="0" w:type="dxa"/>
                          <w:bottom w:w="0" w:type="dxa"/>
                          <w:right w:w="0" w:type="dxa"/>
                        </w:tcMar>
                        <w:vAlign w:val="center"/>
                        <w:hideMark/>
                      </w:tcPr>
                      <w:p w14:paraId="7774050A" w14:textId="620F33CF" w:rsidR="00443BD3" w:rsidRDefault="00443BD3" w:rsidP="00443BD3">
                        <w:pPr>
                          <w:rPr>
                            <w:rFonts w:ascii="Arial" w:eastAsia="Times New Roman" w:hAnsi="Arial" w:cs="Arial"/>
                            <w:color w:val="FFFFFF"/>
                            <w:sz w:val="17"/>
                            <w:szCs w:val="17"/>
                          </w:rPr>
                        </w:pPr>
                      </w:p>
                    </w:tc>
                  </w:tr>
                </w:tbl>
                <w:p w14:paraId="42535C14" w14:textId="77777777" w:rsidR="00443BD3" w:rsidRDefault="00443BD3">
                  <w:pPr>
                    <w:jc w:val="center"/>
                    <w:rPr>
                      <w:rFonts w:ascii="Times New Roman" w:eastAsia="Times New Roman" w:hAnsi="Times New Roman" w:cs="Times New Roman"/>
                      <w:sz w:val="20"/>
                      <w:szCs w:val="20"/>
                    </w:rPr>
                  </w:pPr>
                </w:p>
              </w:tc>
            </w:tr>
          </w:tbl>
          <w:p w14:paraId="0D790233" w14:textId="77777777" w:rsidR="00443BD3" w:rsidRDefault="00443BD3">
            <w:pPr>
              <w:jc w:val="center"/>
              <w:rPr>
                <w:rFonts w:ascii="Times New Roman" w:eastAsia="Times New Roman" w:hAnsi="Times New Roman" w:cs="Times New Roman"/>
                <w:sz w:val="20"/>
                <w:szCs w:val="20"/>
              </w:rPr>
            </w:pPr>
          </w:p>
        </w:tc>
      </w:tr>
    </w:tbl>
    <w:p w14:paraId="5DBE7064" w14:textId="548EF459" w:rsidR="00443BD3" w:rsidRDefault="00443BD3" w:rsidP="00443BD3">
      <w:pPr>
        <w:rPr>
          <w:rFonts w:eastAsia="Times New Roman"/>
        </w:rPr>
      </w:pPr>
      <w:r>
        <w:rPr>
          <w:rFonts w:eastAsia="Times New Roman"/>
          <w:noProof/>
        </w:rPr>
        <w:drawing>
          <wp:inline distT="0" distB="0" distL="0" distR="0" wp14:anchorId="1A8805B0" wp14:editId="3CEC694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4DAE2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D3"/>
    <w:rsid w:val="00443BD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B6F8"/>
  <w15:chartTrackingRefBased/>
  <w15:docId w15:val="{AD9CDAED-0871-444B-B6EF-4155DAB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D3"/>
    <w:rPr>
      <w:rFonts w:ascii="Calibri" w:hAnsi="Calibri" w:cs="Calibri"/>
      <w:lang w:eastAsia="en-GB"/>
    </w:rPr>
  </w:style>
  <w:style w:type="paragraph" w:styleId="Heading1">
    <w:name w:val="heading 1"/>
    <w:basedOn w:val="Normal"/>
    <w:link w:val="Heading1Char"/>
    <w:uiPriority w:val="9"/>
    <w:qFormat/>
    <w:rsid w:val="00443BD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43BD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43BD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43BD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BD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43BD3"/>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43BD3"/>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43BD3"/>
    <w:rPr>
      <w:rFonts w:ascii="Tahoma" w:hAnsi="Tahoma" w:cs="Tahoma"/>
      <w:b/>
      <w:bCs/>
      <w:color w:val="FFFFFF"/>
      <w:sz w:val="18"/>
      <w:szCs w:val="18"/>
      <w:lang w:eastAsia="en-GB"/>
    </w:rPr>
  </w:style>
  <w:style w:type="paragraph" w:styleId="NormalWeb">
    <w:name w:val="Normal (Web)"/>
    <w:basedOn w:val="Normal"/>
    <w:uiPriority w:val="99"/>
    <w:semiHidden/>
    <w:unhideWhenUsed/>
    <w:rsid w:val="00443BD3"/>
    <w:pPr>
      <w:spacing w:before="100" w:beforeAutospacing="1" w:after="100" w:afterAutospacing="1"/>
    </w:pPr>
  </w:style>
  <w:style w:type="character" w:styleId="Strong">
    <w:name w:val="Strong"/>
    <w:basedOn w:val="DefaultParagraphFont"/>
    <w:uiPriority w:val="22"/>
    <w:qFormat/>
    <w:rsid w:val="00443BD3"/>
    <w:rPr>
      <w:b/>
      <w:bCs/>
    </w:rPr>
  </w:style>
  <w:style w:type="character" w:styleId="Hyperlink">
    <w:name w:val="Hyperlink"/>
    <w:basedOn w:val="DefaultParagraphFont"/>
    <w:uiPriority w:val="99"/>
    <w:semiHidden/>
    <w:unhideWhenUsed/>
    <w:rsid w:val="00443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6bbb21bab&amp;e=d19e9fd41c" TargetMode="External"/><Relationship Id="rId13" Type="http://schemas.openxmlformats.org/officeDocument/2006/relationships/hyperlink" Target="https://psnc.us7.list-manage.com/track/click?u=86d41ab7fa4c7c2c5d7210782&amp;id=1e9e52920e&amp;e=d19e9fd41c" TargetMode="External"/><Relationship Id="rId18" Type="http://schemas.openxmlformats.org/officeDocument/2006/relationships/hyperlink" Target="https://psnc.us7.list-manage.com/track/click?u=86d41ab7fa4c7c2c5d7210782&amp;id=cfdc7a306d&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00568a4dd3&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fa5aba862&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5343b4d085&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8a3f26b818&amp;e=d19e9fd41c" TargetMode="External"/><Relationship Id="rId24" Type="http://schemas.openxmlformats.org/officeDocument/2006/relationships/hyperlink" Target="https://psnc.us7.list-manage.com/track/click?u=86d41ab7fa4c7c2c5d7210782&amp;id=b423603ea2&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8936e4663&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6d93784bdf&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1748458b6d&amp;e=d19e9fd41c" TargetMode="External"/><Relationship Id="rId14" Type="http://schemas.openxmlformats.org/officeDocument/2006/relationships/hyperlink" Target="https://psnc.us7.list-manage.com/track/click?u=86d41ab7fa4c7c2c5d7210782&amp;id=8e15de287b&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2021-11-15T08:06:00Z</dcterms:created>
  <dcterms:modified xsi:type="dcterms:W3CDTF">2021-11-15T08:10:00Z</dcterms:modified>
</cp:coreProperties>
</file>