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73D60" w14:paraId="530B29EB" w14:textId="77777777" w:rsidTr="00B73D6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3D60" w14:paraId="29A596F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73D60" w14:paraId="32F69331" w14:textId="77777777">
                    <w:trPr>
                      <w:tblCellSpacing w:w="0" w:type="dxa"/>
                      <w:jc w:val="center"/>
                    </w:trPr>
                    <w:tc>
                      <w:tcPr>
                        <w:tcW w:w="3000" w:type="dxa"/>
                        <w:hideMark/>
                      </w:tcPr>
                      <w:p w14:paraId="610C611E" w14:textId="60264453" w:rsidR="00B73D60" w:rsidRDefault="00B73D60" w:rsidP="00B73D60">
                        <w:pP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87989BB" w14:textId="77777777" w:rsidR="00B73D60" w:rsidRDefault="00B73D60" w:rsidP="00B73D60">
                  <w:pPr>
                    <w:rPr>
                      <w:rFonts w:ascii="Times New Roman" w:eastAsia="Times New Roman" w:hAnsi="Times New Roman" w:cs="Times New Roman"/>
                      <w:sz w:val="20"/>
                      <w:szCs w:val="20"/>
                    </w:rPr>
                  </w:pPr>
                </w:p>
              </w:tc>
            </w:tr>
            <w:tr w:rsidR="00B73D60" w14:paraId="2BC5839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73D60" w14:paraId="477C7E2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EA6FE74" w14:textId="12D60468" w:rsidR="00B73D60" w:rsidRDefault="00B73D60" w:rsidP="00B73D60">
                        <w:pPr>
                          <w:jc w:val="center"/>
                          <w:rPr>
                            <w:rFonts w:eastAsia="Times New Roman"/>
                          </w:rPr>
                        </w:pPr>
                        <w:r>
                          <w:rPr>
                            <w:rFonts w:eastAsia="Times New Roman"/>
                            <w:noProof/>
                          </w:rPr>
                          <w:drawing>
                            <wp:inline distT="0" distB="0" distL="0" distR="0" wp14:anchorId="1338F0D4" wp14:editId="3021917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73D60" w14:paraId="3ED4E329" w14:textId="77777777">
                    <w:trPr>
                      <w:tblCellSpacing w:w="0" w:type="dxa"/>
                    </w:trPr>
                    <w:tc>
                      <w:tcPr>
                        <w:tcW w:w="0" w:type="auto"/>
                        <w:vMerge/>
                        <w:tcBorders>
                          <w:top w:val="nil"/>
                          <w:left w:val="nil"/>
                          <w:bottom w:val="single" w:sz="2" w:space="0" w:color="FFFFFF"/>
                          <w:right w:val="nil"/>
                        </w:tcBorders>
                        <w:vAlign w:val="center"/>
                        <w:hideMark/>
                      </w:tcPr>
                      <w:p w14:paraId="0E00B274" w14:textId="77777777" w:rsidR="00B73D60" w:rsidRDefault="00B73D60" w:rsidP="00B73D60">
                        <w:pPr>
                          <w:rPr>
                            <w:rFonts w:eastAsia="Times New Roman"/>
                          </w:rPr>
                        </w:pPr>
                      </w:p>
                    </w:tc>
                    <w:tc>
                      <w:tcPr>
                        <w:tcW w:w="3450" w:type="dxa"/>
                        <w:tcBorders>
                          <w:top w:val="nil"/>
                          <w:left w:val="nil"/>
                          <w:bottom w:val="nil"/>
                          <w:right w:val="nil"/>
                        </w:tcBorders>
                        <w:vAlign w:val="center"/>
                        <w:hideMark/>
                      </w:tcPr>
                      <w:p w14:paraId="4BCAD186" w14:textId="77777777" w:rsidR="00B73D60" w:rsidRDefault="00B73D60" w:rsidP="00B73D60">
                        <w:pPr>
                          <w:pStyle w:val="Heading1"/>
                          <w:spacing w:after="0" w:line="240" w:lineRule="auto"/>
                          <w:rPr>
                            <w:rFonts w:eastAsia="Times New Roman"/>
                          </w:rPr>
                        </w:pPr>
                        <w:r>
                          <w:rPr>
                            <w:rFonts w:eastAsia="Times New Roman"/>
                          </w:rPr>
                          <w:t>PSNC Newsletter</w:t>
                        </w:r>
                      </w:p>
                    </w:tc>
                  </w:tr>
                  <w:tr w:rsidR="00B73D60" w14:paraId="56DC61E1" w14:textId="77777777">
                    <w:trPr>
                      <w:tblCellSpacing w:w="0" w:type="dxa"/>
                    </w:trPr>
                    <w:tc>
                      <w:tcPr>
                        <w:tcW w:w="0" w:type="auto"/>
                        <w:vMerge/>
                        <w:tcBorders>
                          <w:top w:val="nil"/>
                          <w:left w:val="nil"/>
                          <w:bottom w:val="single" w:sz="2" w:space="0" w:color="FFFFFF"/>
                          <w:right w:val="nil"/>
                        </w:tcBorders>
                        <w:vAlign w:val="center"/>
                        <w:hideMark/>
                      </w:tcPr>
                      <w:p w14:paraId="081B81CD" w14:textId="77777777" w:rsidR="00B73D60" w:rsidRDefault="00B73D60" w:rsidP="00B73D6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24F4A26" w14:textId="77777777" w:rsidR="00B73D60" w:rsidRDefault="00B73D60" w:rsidP="00B73D60">
                        <w:pPr>
                          <w:pStyle w:val="Heading2"/>
                          <w:spacing w:after="0" w:line="240" w:lineRule="auto"/>
                          <w:rPr>
                            <w:rFonts w:eastAsia="Times New Roman"/>
                            <w:color w:val="93378A"/>
                          </w:rPr>
                        </w:pPr>
                        <w:r>
                          <w:rPr>
                            <w:rFonts w:eastAsia="Times New Roman"/>
                            <w:color w:val="93378A"/>
                          </w:rPr>
                          <w:t>Friday 5th November 2021</w:t>
                        </w:r>
                      </w:p>
                    </w:tc>
                  </w:tr>
                </w:tbl>
                <w:p w14:paraId="5FA3D8EA" w14:textId="77777777" w:rsidR="00B73D60" w:rsidRDefault="00B73D60" w:rsidP="00B73D60">
                  <w:pPr>
                    <w:rPr>
                      <w:rFonts w:ascii="Times New Roman" w:eastAsia="Times New Roman" w:hAnsi="Times New Roman" w:cs="Times New Roman"/>
                      <w:sz w:val="20"/>
                      <w:szCs w:val="20"/>
                    </w:rPr>
                  </w:pPr>
                </w:p>
              </w:tc>
            </w:tr>
            <w:tr w:rsidR="00B73D60" w14:paraId="28E32079" w14:textId="77777777">
              <w:tblPrEx>
                <w:shd w:val="clear" w:color="auto" w:fill="auto"/>
              </w:tblPrEx>
              <w:trPr>
                <w:tblCellSpacing w:w="0" w:type="dxa"/>
                <w:jc w:val="center"/>
              </w:trPr>
              <w:tc>
                <w:tcPr>
                  <w:tcW w:w="9000" w:type="dxa"/>
                  <w:hideMark/>
                </w:tcPr>
                <w:p w14:paraId="535617FD" w14:textId="597BCEE4" w:rsidR="00B73D60" w:rsidRDefault="00B73D60" w:rsidP="00B73D60">
                  <w:pPr>
                    <w:rPr>
                      <w:rFonts w:eastAsia="Times New Roman"/>
                    </w:rPr>
                  </w:pPr>
                  <w:r>
                    <w:rPr>
                      <w:rFonts w:eastAsia="Times New Roman"/>
                      <w:noProof/>
                    </w:rPr>
                    <w:drawing>
                      <wp:inline distT="0" distB="0" distL="0" distR="0" wp14:anchorId="0A7BB3CF" wp14:editId="0FE4D99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73D60" w14:paraId="1096E0C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B73D60" w14:paraId="339302F0" w14:textId="77777777">
                    <w:trPr>
                      <w:trHeight w:val="150"/>
                      <w:tblCellSpacing w:w="15" w:type="dxa"/>
                      <w:jc w:val="center"/>
                    </w:trPr>
                    <w:tc>
                      <w:tcPr>
                        <w:tcW w:w="150" w:type="dxa"/>
                        <w:vAlign w:val="center"/>
                        <w:hideMark/>
                      </w:tcPr>
                      <w:p w14:paraId="2C619A73" w14:textId="77777777" w:rsidR="00B73D60" w:rsidRDefault="00B73D60" w:rsidP="00B73D60">
                        <w:pPr>
                          <w:rPr>
                            <w:rFonts w:eastAsia="Times New Roman"/>
                          </w:rPr>
                        </w:pPr>
                      </w:p>
                    </w:tc>
                    <w:tc>
                      <w:tcPr>
                        <w:tcW w:w="8700" w:type="dxa"/>
                        <w:vAlign w:val="center"/>
                        <w:hideMark/>
                      </w:tcPr>
                      <w:p w14:paraId="376EF51C" w14:textId="77777777" w:rsidR="00B73D60" w:rsidRDefault="00B73D60" w:rsidP="00B73D60">
                        <w:pPr>
                          <w:rPr>
                            <w:rFonts w:ascii="Times New Roman" w:eastAsia="Times New Roman" w:hAnsi="Times New Roman" w:cs="Times New Roman"/>
                            <w:sz w:val="20"/>
                            <w:szCs w:val="20"/>
                          </w:rPr>
                        </w:pPr>
                      </w:p>
                    </w:tc>
                    <w:tc>
                      <w:tcPr>
                        <w:tcW w:w="150" w:type="dxa"/>
                        <w:vAlign w:val="center"/>
                        <w:hideMark/>
                      </w:tcPr>
                      <w:p w14:paraId="36BE0A04" w14:textId="77777777" w:rsidR="00B73D60" w:rsidRDefault="00B73D60" w:rsidP="00B73D60">
                        <w:pPr>
                          <w:rPr>
                            <w:rFonts w:ascii="Times New Roman" w:eastAsia="Times New Roman" w:hAnsi="Times New Roman" w:cs="Times New Roman"/>
                            <w:sz w:val="20"/>
                            <w:szCs w:val="20"/>
                          </w:rPr>
                        </w:pPr>
                      </w:p>
                    </w:tc>
                  </w:tr>
                  <w:tr w:rsidR="00B73D60" w14:paraId="4EE14EBA" w14:textId="77777777">
                    <w:trPr>
                      <w:tblCellSpacing w:w="15" w:type="dxa"/>
                      <w:jc w:val="center"/>
                    </w:trPr>
                    <w:tc>
                      <w:tcPr>
                        <w:tcW w:w="150" w:type="dxa"/>
                        <w:vAlign w:val="center"/>
                        <w:hideMark/>
                      </w:tcPr>
                      <w:p w14:paraId="29E46F9B" w14:textId="77777777" w:rsidR="00B73D60" w:rsidRDefault="00B73D60" w:rsidP="00B73D60">
                        <w:pPr>
                          <w:rPr>
                            <w:rFonts w:ascii="Times New Roman" w:eastAsia="Times New Roman" w:hAnsi="Times New Roman" w:cs="Times New Roman"/>
                            <w:sz w:val="20"/>
                            <w:szCs w:val="20"/>
                          </w:rPr>
                        </w:pPr>
                      </w:p>
                    </w:tc>
                    <w:tc>
                      <w:tcPr>
                        <w:tcW w:w="8700" w:type="dxa"/>
                        <w:vAlign w:val="center"/>
                        <w:hideMark/>
                      </w:tcPr>
                      <w:p w14:paraId="3B9A4C8C"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9777C64"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pict w14:anchorId="46ADC7EB">
                            <v:rect id="_x0000_i1032" style="width:468pt;height:1.5pt" o:hrstd="t" o:hr="t" fillcolor="#a0a0a0" stroked="f"/>
                          </w:pict>
                        </w:r>
                      </w:p>
                      <w:p w14:paraId="67EBC086" w14:textId="77777777" w:rsidR="00B73D60" w:rsidRDefault="00B73D60" w:rsidP="00B73D60">
                        <w:pPr>
                          <w:pStyle w:val="Heading2"/>
                          <w:spacing w:after="0" w:line="240" w:lineRule="auto"/>
                          <w:rPr>
                            <w:rFonts w:eastAsia="Times New Roman"/>
                          </w:rPr>
                        </w:pPr>
                        <w:r>
                          <w:rPr>
                            <w:rFonts w:eastAsia="Times New Roman"/>
                          </w:rPr>
                          <w:t>In this update: Look out for winter vaccines campaign materials; FP34C submission reminder; PSNC delivers data driven evidence; recent PSNC Briefings.</w:t>
                        </w:r>
                      </w:p>
                      <w:p w14:paraId="5A45B75C"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pict w14:anchorId="13DB534C">
                            <v:rect id="_x0000_i1033" style="width:468pt;height:1.5pt" o:hrstd="t" o:hr="t" fillcolor="#a0a0a0" stroked="f"/>
                          </w:pict>
                        </w:r>
                      </w:p>
                      <w:p w14:paraId="3F9826BA" w14:textId="77777777" w:rsidR="00B73D60" w:rsidRDefault="00B73D60" w:rsidP="00B73D60">
                        <w:pPr>
                          <w:pStyle w:val="Heading3"/>
                          <w:spacing w:after="0" w:line="240" w:lineRule="auto"/>
                          <w:rPr>
                            <w:rFonts w:eastAsia="Times New Roman"/>
                          </w:rPr>
                        </w:pPr>
                        <w:r>
                          <w:rPr>
                            <w:rFonts w:eastAsia="Times New Roman"/>
                          </w:rPr>
                          <w:t>Winter vaccines campaign materials to arrive from Monday</w:t>
                        </w:r>
                      </w:p>
                      <w:p w14:paraId="4B129366" w14:textId="77777777" w:rsidR="00B73D60" w:rsidRDefault="00B73D60" w:rsidP="00B73D6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Community pharmacy contractors are </w:t>
                        </w:r>
                        <w:hyperlink r:id="rId8" w:tgtFrame="_blank" w:history="1">
                          <w:r>
                            <w:rPr>
                              <w:rStyle w:val="Hyperlink"/>
                              <w:rFonts w:ascii="Tahoma" w:hAnsi="Tahoma" w:cs="Tahoma"/>
                              <w:b/>
                              <w:bCs/>
                              <w:color w:val="4E3487"/>
                              <w:sz w:val="21"/>
                              <w:szCs w:val="21"/>
                            </w:rPr>
                            <w:t>reminded</w:t>
                          </w:r>
                        </w:hyperlink>
                        <w:r>
                          <w:rPr>
                            <w:rFonts w:ascii="Tahoma" w:hAnsi="Tahoma" w:cs="Tahoma"/>
                            <w:color w:val="303030"/>
                            <w:sz w:val="21"/>
                            <w:szCs w:val="21"/>
                          </w:rPr>
                          <w:t xml:space="preserve"> that the campaign materials for the Winter vaccines campaign will start arriving in pharmacies via Royal Mail from Monday (8th November 2021).</w:t>
                        </w:r>
                        <w:r>
                          <w:rPr>
                            <w:rFonts w:ascii="Tahoma" w:hAnsi="Tahoma" w:cs="Tahoma"/>
                            <w:color w:val="303030"/>
                            <w:sz w:val="21"/>
                            <w:szCs w:val="21"/>
                          </w:rPr>
                          <w:br/>
                        </w:r>
                        <w:r>
                          <w:rPr>
                            <w:rFonts w:ascii="Tahoma" w:hAnsi="Tahoma" w:cs="Tahoma"/>
                            <w:color w:val="303030"/>
                            <w:sz w:val="21"/>
                            <w:szCs w:val="21"/>
                          </w:rPr>
                          <w:br/>
                          <w:t>The Winter vaccines campaign pack is the second mandated health campaign for 2021/22 (as agreed by NHS England and NHS Improvement (NHSE&amp;I) and PSNC) and contractors must participate in this as it is part of their NHS contractual requirements.</w:t>
                        </w:r>
                        <w:r>
                          <w:rPr>
                            <w:rFonts w:ascii="Tahoma" w:hAnsi="Tahoma" w:cs="Tahoma"/>
                            <w:color w:val="303030"/>
                            <w:sz w:val="21"/>
                            <w:szCs w:val="21"/>
                          </w:rPr>
                          <w:br/>
                        </w:r>
                        <w:r>
                          <w:rPr>
                            <w:rFonts w:ascii="Tahoma" w:hAnsi="Tahoma" w:cs="Tahoma"/>
                            <w:color w:val="303030"/>
                            <w:sz w:val="21"/>
                            <w:szCs w:val="21"/>
                          </w:rPr>
                          <w:br/>
                          <w:t xml:space="preserve">The campaign pack includes a briefing sheet; four A4 posters; one Q&amp;A leaflet; and one A6 shelf wobbler. </w:t>
                        </w:r>
                        <w:hyperlink r:id="rId9" w:tgtFrame="_blank" w:history="1">
                          <w:r>
                            <w:rPr>
                              <w:rStyle w:val="Hyperlink"/>
                              <w:rFonts w:ascii="Tahoma" w:hAnsi="Tahoma" w:cs="Tahoma"/>
                              <w:b/>
                              <w:bCs/>
                              <w:color w:val="4E3487"/>
                              <w:sz w:val="21"/>
                              <w:szCs w:val="21"/>
                            </w:rPr>
                            <w:t>Social media and digital resources</w:t>
                          </w:r>
                        </w:hyperlink>
                        <w:r>
                          <w:rPr>
                            <w:rFonts w:ascii="Tahoma" w:hAnsi="Tahoma" w:cs="Tahoma"/>
                            <w:color w:val="303030"/>
                            <w:sz w:val="21"/>
                            <w:szCs w:val="21"/>
                          </w:rPr>
                          <w:t xml:space="preserve"> for the campaign are also available.</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w:t>
                          </w:r>
                        </w:hyperlink>
                      </w:p>
                      <w:p w14:paraId="22AD8420"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pict w14:anchorId="601744AD">
                            <v:rect id="_x0000_i1034" style="width:468pt;height:1.5pt" o:hrstd="t" o:hr="t" fillcolor="#a0a0a0" stroked="f"/>
                          </w:pict>
                        </w:r>
                      </w:p>
                      <w:p w14:paraId="75B291D2" w14:textId="77777777" w:rsidR="00B73D60" w:rsidRDefault="00B73D60" w:rsidP="00B73D60">
                        <w:pPr>
                          <w:pStyle w:val="Heading3"/>
                          <w:spacing w:after="0" w:line="240" w:lineRule="auto"/>
                          <w:rPr>
                            <w:rFonts w:eastAsia="Times New Roman"/>
                          </w:rPr>
                        </w:pPr>
                        <w:r>
                          <w:rPr>
                            <w:rFonts w:eastAsia="Times New Roman"/>
                          </w:rPr>
                          <w:t>Reminder: Accessing earlier advance payments</w:t>
                        </w:r>
                      </w:p>
                      <w:p w14:paraId="5E910918" w14:textId="77777777" w:rsidR="00B73D60" w:rsidRDefault="00B73D60" w:rsidP="00B73D6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From November 2021, all pharmacy contractors can access their monthly advance payments around </w:t>
                        </w:r>
                        <w:r>
                          <w:rPr>
                            <w:rStyle w:val="Strong"/>
                            <w:rFonts w:ascii="Tahoma" w:hAnsi="Tahoma" w:cs="Tahoma"/>
                            <w:color w:val="303030"/>
                            <w:sz w:val="21"/>
                            <w:szCs w:val="21"/>
                          </w:rPr>
                          <w:t>20 days earlier</w:t>
                        </w:r>
                        <w:r>
                          <w:rPr>
                            <w:rFonts w:ascii="Tahoma" w:hAnsi="Tahoma" w:cs="Tahoma"/>
                            <w:color w:val="303030"/>
                            <w:sz w:val="21"/>
                            <w:szCs w:val="21"/>
                          </w:rPr>
                          <w:t xml:space="preserve"> by submitting their FP34Cs using the </w:t>
                        </w:r>
                        <w:hyperlink r:id="rId11"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xml:space="preserve"> no later than the </w:t>
                        </w:r>
                        <w:r>
                          <w:rPr>
                            <w:rStyle w:val="Strong"/>
                            <w:rFonts w:ascii="Tahoma" w:hAnsi="Tahoma" w:cs="Tahoma"/>
                            <w:color w:val="303030"/>
                            <w:sz w:val="21"/>
                            <w:szCs w:val="21"/>
                          </w:rPr>
                          <w:t>5th of the month</w:t>
                        </w:r>
                        <w:r>
                          <w:rPr>
                            <w:rFonts w:ascii="Tahoma" w:hAnsi="Tahoma" w:cs="Tahoma"/>
                            <w:color w:val="303030"/>
                            <w:sz w:val="21"/>
                            <w:szCs w:val="21"/>
                          </w:rPr>
                          <w:t xml:space="preserve"> following that in which supply was made. For the October 2021 dispensing month, contractors will receive earlier advance payments on 11th November 2021 (instead of 1st December 2021), as long as FP34C submissions are made through MYS by 5th November.</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Pharmacy contractors who continue to submit their end of month declaration using the paper FP34C form, or submit through MYS after the 5th of the month, will NOT receive earlier advance payments</w:t>
                        </w:r>
                        <w:r>
                          <w:rPr>
                            <w:rFonts w:ascii="Tahoma" w:hAnsi="Tahoma" w:cs="Tahoma"/>
                            <w:color w:val="303030"/>
                            <w:sz w:val="21"/>
                            <w:szCs w:val="21"/>
                          </w:rPr>
                          <w:t xml:space="preserve"> but instead will receive advance payments in accordance with the current payment timetable, i.e. on or around the 1st of the month following submission.</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accessing earlier advance payments</w:t>
                          </w:r>
                        </w:hyperlink>
                      </w:p>
                      <w:p w14:paraId="7D16B575"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pict w14:anchorId="77B29848">
                            <v:rect id="_x0000_i1035" style="width:468pt;height:1.5pt" o:hrstd="t" o:hr="t" fillcolor="#a0a0a0" stroked="f"/>
                          </w:pict>
                        </w:r>
                      </w:p>
                      <w:p w14:paraId="6B3C3E3D" w14:textId="77777777" w:rsidR="00B73D60" w:rsidRDefault="00B73D60" w:rsidP="00B73D60">
                        <w:pPr>
                          <w:pStyle w:val="Heading3"/>
                          <w:spacing w:after="0" w:line="240" w:lineRule="auto"/>
                          <w:rPr>
                            <w:rFonts w:eastAsia="Times New Roman"/>
                          </w:rPr>
                        </w:pPr>
                        <w:r>
                          <w:rPr>
                            <w:rFonts w:eastAsia="Times New Roman"/>
                          </w:rPr>
                          <w:t>2020/21: Delivering data driven evidence</w:t>
                        </w:r>
                      </w:p>
                      <w:p w14:paraId="012CAA5E" w14:textId="77777777" w:rsidR="00B73D60" w:rsidRDefault="00B73D60" w:rsidP="00B73D6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2020/21 saw a significant increase in the organised capture of data from contractors to help PSNC make the case for community pharmacy. Thousands of pharmacies took part in PSNC's Summer 2020 and Winter 2021 Pharmacy Advice </w:t>
                        </w:r>
                        <w:proofErr w:type="gramStart"/>
                        <w:r>
                          <w:rPr>
                            <w:rFonts w:ascii="Tahoma" w:hAnsi="Tahoma" w:cs="Tahoma"/>
                            <w:color w:val="303030"/>
                            <w:sz w:val="21"/>
                            <w:szCs w:val="21"/>
                          </w:rPr>
                          <w:t>Audits</w:t>
                        </w:r>
                        <w:proofErr w:type="gramEnd"/>
                        <w:r>
                          <w:rPr>
                            <w:rFonts w:ascii="Tahoma" w:hAnsi="Tahoma" w:cs="Tahoma"/>
                            <w:color w:val="303030"/>
                            <w:sz w:val="21"/>
                            <w:szCs w:val="21"/>
                          </w:rPr>
                          <w:t xml:space="preserve"> and we recorded the impact that COVID-19 was having on pharmacy businesses through monthly surveys. You can read about the findings and how we used them in our Annual Report.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See PSNC's annual report online</w:t>
                          </w:r>
                        </w:hyperlink>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Watch the annual report through video</w:t>
                          </w:r>
                        </w:hyperlink>
                      </w:p>
                      <w:p w14:paraId="29908389" w14:textId="77777777" w:rsidR="00B73D60" w:rsidRDefault="00B73D60" w:rsidP="00B73D60">
                        <w:pPr>
                          <w:rPr>
                            <w:rFonts w:ascii="Tahoma" w:eastAsia="Times New Roman" w:hAnsi="Tahoma" w:cs="Tahoma"/>
                            <w:color w:val="303030"/>
                            <w:sz w:val="21"/>
                            <w:szCs w:val="21"/>
                          </w:rPr>
                        </w:pPr>
                        <w:r>
                          <w:rPr>
                            <w:rFonts w:ascii="Tahoma" w:eastAsia="Times New Roman" w:hAnsi="Tahoma" w:cs="Tahoma"/>
                            <w:color w:val="303030"/>
                            <w:sz w:val="21"/>
                            <w:szCs w:val="21"/>
                          </w:rPr>
                          <w:pict w14:anchorId="1988F087">
                            <v:rect id="_x0000_i1036" style="width:468pt;height:1.5pt" o:hrstd="t" o:hr="t" fillcolor="#a0a0a0" stroked="f"/>
                          </w:pict>
                        </w:r>
                      </w:p>
                      <w:p w14:paraId="2812D8C4" w14:textId="77777777" w:rsidR="00B73D60" w:rsidRDefault="00B73D60" w:rsidP="00B73D60">
                        <w:pPr>
                          <w:pStyle w:val="Heading3"/>
                          <w:spacing w:after="0" w:line="240" w:lineRule="auto"/>
                          <w:rPr>
                            <w:rFonts w:eastAsia="Times New Roman"/>
                          </w:rPr>
                        </w:pPr>
                        <w:r>
                          <w:rPr>
                            <w:rFonts w:eastAsia="Times New Roman"/>
                          </w:rPr>
                          <w:t>Recent PSNC Briefings</w:t>
                        </w:r>
                      </w:p>
                      <w:p w14:paraId="7612ACCE" w14:textId="77777777" w:rsidR="00B73D60" w:rsidRDefault="00B73D60" w:rsidP="00B73D6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team at PSNC regularly issues briefings and factsheets which bring together key information and guidance on current topics. Below we have provided details of those published in the last week.</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Pharmacy Quality Scheme 2021/22 - Action and Evidence Portfolio Workbook</w:t>
                          </w:r>
                        </w:hyperlink>
                        <w:r>
                          <w:rPr>
                            <w:rFonts w:ascii="Tahoma" w:hAnsi="Tahoma" w:cs="Tahoma"/>
                            <w:color w:val="303030"/>
                            <w:sz w:val="21"/>
                            <w:szCs w:val="21"/>
                          </w:rPr>
                          <w:br/>
                          <w:t>This Workbook supports community pharmacy contractors to meet the requirements of the 2021/22 Pharmacy Quality Scheme (PQS). It contains questions for pharmacy teams to answer to see if they are meeting the requirements of the Gateway/Domains, as well as providing examples of suggested evidence.</w:t>
                        </w:r>
                        <w:r>
                          <w:rPr>
                            <w:rFonts w:ascii="Tahoma" w:hAnsi="Tahoma" w:cs="Tahoma"/>
                            <w:color w:val="303030"/>
                            <w:sz w:val="21"/>
                            <w:szCs w:val="21"/>
                          </w:rPr>
                          <w:br/>
                        </w:r>
                        <w:r>
                          <w:rPr>
                            <w:rFonts w:ascii="Tahoma" w:hAnsi="Tahoma" w:cs="Tahoma"/>
                            <w:color w:val="303030"/>
                            <w:sz w:val="21"/>
                            <w:szCs w:val="21"/>
                          </w:rPr>
                          <w:br/>
                        </w:r>
                        <w:hyperlink r:id="rId16" w:tgtFrame="_blank" w:history="1">
                          <w:r>
                            <w:rPr>
                              <w:rStyle w:val="Hyperlink"/>
                              <w:rFonts w:ascii="Tahoma" w:hAnsi="Tahoma" w:cs="Tahoma"/>
                              <w:b/>
                              <w:bCs/>
                              <w:color w:val="4E3487"/>
                              <w:sz w:val="21"/>
                              <w:szCs w:val="21"/>
                            </w:rPr>
                            <w:t>NHS Community Pharmacy Advanced Services - information for GP teams</w:t>
                          </w:r>
                        </w:hyperlink>
                        <w:r>
                          <w:rPr>
                            <w:rFonts w:ascii="Tahoma" w:hAnsi="Tahoma" w:cs="Tahoma"/>
                            <w:color w:val="303030"/>
                            <w:sz w:val="21"/>
                            <w:szCs w:val="21"/>
                          </w:rPr>
                          <w:br/>
                          <w:t>This PSNC Briefing provides information for general practice teams about Advanced Services provided by community pharmacies in England.</w:t>
                        </w:r>
                      </w:p>
                    </w:tc>
                    <w:tc>
                      <w:tcPr>
                        <w:tcW w:w="150" w:type="dxa"/>
                        <w:vAlign w:val="center"/>
                        <w:hideMark/>
                      </w:tcPr>
                      <w:p w14:paraId="457C5BFA" w14:textId="77777777" w:rsidR="00B73D60" w:rsidRDefault="00B73D60" w:rsidP="00B73D60">
                        <w:pPr>
                          <w:rPr>
                            <w:rFonts w:ascii="Tahoma" w:hAnsi="Tahoma" w:cs="Tahoma"/>
                            <w:color w:val="303030"/>
                            <w:sz w:val="21"/>
                            <w:szCs w:val="21"/>
                          </w:rPr>
                        </w:pPr>
                      </w:p>
                    </w:tc>
                  </w:tr>
                  <w:tr w:rsidR="00B73D60" w14:paraId="7B72456D" w14:textId="77777777">
                    <w:trPr>
                      <w:trHeight w:val="150"/>
                      <w:tblCellSpacing w:w="15" w:type="dxa"/>
                      <w:jc w:val="center"/>
                    </w:trPr>
                    <w:tc>
                      <w:tcPr>
                        <w:tcW w:w="150" w:type="dxa"/>
                        <w:vAlign w:val="center"/>
                        <w:hideMark/>
                      </w:tcPr>
                      <w:p w14:paraId="3496054C" w14:textId="77777777" w:rsidR="00B73D60" w:rsidRDefault="00B73D60" w:rsidP="00B73D60">
                        <w:pPr>
                          <w:rPr>
                            <w:rFonts w:ascii="Times New Roman" w:eastAsia="Times New Roman" w:hAnsi="Times New Roman" w:cs="Times New Roman"/>
                            <w:sz w:val="20"/>
                            <w:szCs w:val="20"/>
                          </w:rPr>
                        </w:pPr>
                      </w:p>
                    </w:tc>
                    <w:tc>
                      <w:tcPr>
                        <w:tcW w:w="8700" w:type="dxa"/>
                        <w:vAlign w:val="center"/>
                        <w:hideMark/>
                      </w:tcPr>
                      <w:p w14:paraId="7A55F246" w14:textId="77777777" w:rsidR="00B73D60" w:rsidRDefault="00B73D60" w:rsidP="00B73D60">
                        <w:pPr>
                          <w:rPr>
                            <w:rFonts w:ascii="Times New Roman" w:eastAsia="Times New Roman" w:hAnsi="Times New Roman" w:cs="Times New Roman"/>
                            <w:sz w:val="20"/>
                            <w:szCs w:val="20"/>
                          </w:rPr>
                        </w:pPr>
                      </w:p>
                    </w:tc>
                    <w:tc>
                      <w:tcPr>
                        <w:tcW w:w="150" w:type="dxa"/>
                        <w:vAlign w:val="center"/>
                        <w:hideMark/>
                      </w:tcPr>
                      <w:p w14:paraId="4E3C5413" w14:textId="77777777" w:rsidR="00B73D60" w:rsidRDefault="00B73D60" w:rsidP="00B73D60">
                        <w:pPr>
                          <w:rPr>
                            <w:rFonts w:ascii="Times New Roman" w:eastAsia="Times New Roman" w:hAnsi="Times New Roman" w:cs="Times New Roman"/>
                            <w:sz w:val="20"/>
                            <w:szCs w:val="20"/>
                          </w:rPr>
                        </w:pPr>
                      </w:p>
                    </w:tc>
                  </w:tr>
                </w:tbl>
                <w:p w14:paraId="69DE4F58" w14:textId="77777777" w:rsidR="00B73D60" w:rsidRDefault="00B73D60" w:rsidP="00B73D60">
                  <w:pPr>
                    <w:rPr>
                      <w:rFonts w:ascii="Times New Roman" w:eastAsia="Times New Roman" w:hAnsi="Times New Roman" w:cs="Times New Roman"/>
                      <w:sz w:val="20"/>
                      <w:szCs w:val="20"/>
                    </w:rPr>
                  </w:pPr>
                </w:p>
              </w:tc>
            </w:tr>
          </w:tbl>
          <w:p w14:paraId="0739E4CC" w14:textId="77777777" w:rsidR="00B73D60" w:rsidRDefault="00B73D60" w:rsidP="00B73D60">
            <w:pPr>
              <w:rPr>
                <w:rFonts w:ascii="Times New Roman" w:eastAsia="Times New Roman" w:hAnsi="Times New Roman" w:cs="Times New Roman"/>
                <w:sz w:val="20"/>
                <w:szCs w:val="20"/>
              </w:rPr>
            </w:pPr>
          </w:p>
        </w:tc>
      </w:tr>
      <w:tr w:rsidR="00B73D60" w14:paraId="7B9A0D82" w14:textId="77777777" w:rsidTr="00B73D6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3D60" w14:paraId="1C445EA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73D60" w14:paraId="1669D279" w14:textId="77777777">
                    <w:trPr>
                      <w:tblCellSpacing w:w="0" w:type="dxa"/>
                      <w:jc w:val="center"/>
                    </w:trPr>
                    <w:tc>
                      <w:tcPr>
                        <w:tcW w:w="3000" w:type="dxa"/>
                        <w:tcMar>
                          <w:top w:w="30" w:type="dxa"/>
                          <w:left w:w="75" w:type="dxa"/>
                          <w:bottom w:w="30" w:type="dxa"/>
                          <w:right w:w="75" w:type="dxa"/>
                        </w:tcMar>
                        <w:hideMark/>
                      </w:tcPr>
                      <w:p w14:paraId="6E5404F8" w14:textId="77777777" w:rsidR="00B73D60" w:rsidRDefault="00B73D60">
                        <w:pPr>
                          <w:pStyle w:val="Heading4"/>
                          <w:jc w:val="center"/>
                          <w:rPr>
                            <w:rFonts w:eastAsia="Times New Roman"/>
                          </w:rPr>
                        </w:pPr>
                        <w:r>
                          <w:rPr>
                            <w:rFonts w:eastAsia="Times New Roman"/>
                          </w:rPr>
                          <w:lastRenderedPageBreak/>
                          <w:t>Pharmaceutical Services Negotiating Committee</w:t>
                        </w:r>
                      </w:p>
                      <w:p w14:paraId="284F8DD0" w14:textId="713FC961" w:rsidR="00B73D60" w:rsidRDefault="00B73D6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8033F3" wp14:editId="07C37A84">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55C101" wp14:editId="3AE3DB08">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DA0107" wp14:editId="0B5B763C">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665631" wp14:editId="1C7B91F5">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F0037D0" w14:textId="77777777" w:rsidR="00B73D60" w:rsidRDefault="00B73D6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73D60" w14:paraId="729859C4" w14:textId="77777777" w:rsidTr="00B73D60">
                    <w:trPr>
                      <w:trHeight w:val="20"/>
                      <w:tblCellSpacing w:w="0" w:type="dxa"/>
                      <w:jc w:val="center"/>
                    </w:trPr>
                    <w:tc>
                      <w:tcPr>
                        <w:tcW w:w="9000" w:type="dxa"/>
                        <w:tcMar>
                          <w:top w:w="150" w:type="dxa"/>
                          <w:left w:w="0" w:type="dxa"/>
                          <w:bottom w:w="0" w:type="dxa"/>
                          <w:right w:w="0" w:type="dxa"/>
                        </w:tcMar>
                        <w:vAlign w:val="center"/>
                        <w:hideMark/>
                      </w:tcPr>
                      <w:p w14:paraId="74BC305D" w14:textId="2B1DFD38" w:rsidR="00B73D60" w:rsidRDefault="00B73D60" w:rsidP="00B73D60">
                        <w:pPr>
                          <w:rPr>
                            <w:rFonts w:ascii="Arial" w:eastAsia="Times New Roman" w:hAnsi="Arial" w:cs="Arial"/>
                            <w:color w:val="FFFFFF"/>
                            <w:sz w:val="17"/>
                            <w:szCs w:val="17"/>
                          </w:rPr>
                        </w:pPr>
                      </w:p>
                    </w:tc>
                  </w:tr>
                </w:tbl>
                <w:p w14:paraId="59B8A951" w14:textId="77777777" w:rsidR="00B73D60" w:rsidRDefault="00B73D60">
                  <w:pPr>
                    <w:jc w:val="center"/>
                    <w:rPr>
                      <w:rFonts w:ascii="Times New Roman" w:eastAsia="Times New Roman" w:hAnsi="Times New Roman" w:cs="Times New Roman"/>
                      <w:sz w:val="20"/>
                      <w:szCs w:val="20"/>
                    </w:rPr>
                  </w:pPr>
                </w:p>
              </w:tc>
            </w:tr>
          </w:tbl>
          <w:p w14:paraId="05F0A296" w14:textId="77777777" w:rsidR="00B73D60" w:rsidRDefault="00B73D60">
            <w:pPr>
              <w:jc w:val="center"/>
              <w:rPr>
                <w:rFonts w:ascii="Times New Roman" w:eastAsia="Times New Roman" w:hAnsi="Times New Roman" w:cs="Times New Roman"/>
                <w:sz w:val="20"/>
                <w:szCs w:val="20"/>
              </w:rPr>
            </w:pPr>
          </w:p>
        </w:tc>
      </w:tr>
    </w:tbl>
    <w:p w14:paraId="60053D32" w14:textId="3C2EDAE5" w:rsidR="00B73D60" w:rsidRDefault="00B73D60" w:rsidP="00B73D60">
      <w:pPr>
        <w:rPr>
          <w:rFonts w:eastAsia="Times New Roman"/>
        </w:rPr>
      </w:pPr>
      <w:r>
        <w:rPr>
          <w:rFonts w:eastAsia="Times New Roman"/>
          <w:noProof/>
        </w:rPr>
        <w:drawing>
          <wp:inline distT="0" distB="0" distL="0" distR="0" wp14:anchorId="4D0557F6" wp14:editId="38EECCA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8B536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60"/>
    <w:rsid w:val="00B73D6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9C34"/>
  <w15:chartTrackingRefBased/>
  <w15:docId w15:val="{06F5D1BC-06E8-4CD7-8A6F-F4E31329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60"/>
    <w:rPr>
      <w:rFonts w:ascii="Calibri" w:hAnsi="Calibri" w:cs="Calibri"/>
      <w:lang w:eastAsia="en-GB"/>
    </w:rPr>
  </w:style>
  <w:style w:type="paragraph" w:styleId="Heading1">
    <w:name w:val="heading 1"/>
    <w:basedOn w:val="Normal"/>
    <w:link w:val="Heading1Char"/>
    <w:uiPriority w:val="9"/>
    <w:qFormat/>
    <w:rsid w:val="00B73D6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73D6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73D6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73D6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D6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73D6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73D6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73D60"/>
    <w:rPr>
      <w:rFonts w:ascii="Tahoma" w:hAnsi="Tahoma" w:cs="Tahoma"/>
      <w:b/>
      <w:bCs/>
      <w:color w:val="FFFFFF"/>
      <w:sz w:val="18"/>
      <w:szCs w:val="18"/>
      <w:lang w:eastAsia="en-GB"/>
    </w:rPr>
  </w:style>
  <w:style w:type="paragraph" w:styleId="NormalWeb">
    <w:name w:val="Normal (Web)"/>
    <w:basedOn w:val="Normal"/>
    <w:uiPriority w:val="99"/>
    <w:semiHidden/>
    <w:unhideWhenUsed/>
    <w:rsid w:val="00B73D60"/>
    <w:pPr>
      <w:spacing w:before="100" w:beforeAutospacing="1" w:after="100" w:afterAutospacing="1"/>
    </w:pPr>
  </w:style>
  <w:style w:type="character" w:styleId="Strong">
    <w:name w:val="Strong"/>
    <w:basedOn w:val="DefaultParagraphFont"/>
    <w:uiPriority w:val="22"/>
    <w:qFormat/>
    <w:rsid w:val="00B73D60"/>
    <w:rPr>
      <w:b/>
      <w:bCs/>
    </w:rPr>
  </w:style>
  <w:style w:type="character" w:styleId="Hyperlink">
    <w:name w:val="Hyperlink"/>
    <w:basedOn w:val="DefaultParagraphFont"/>
    <w:uiPriority w:val="99"/>
    <w:semiHidden/>
    <w:unhideWhenUsed/>
    <w:rsid w:val="00B73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f98127023&amp;e=d19e9fd41c" TargetMode="External"/><Relationship Id="rId13" Type="http://schemas.openxmlformats.org/officeDocument/2006/relationships/hyperlink" Target="https://psnc.us7.list-manage.com/track/click?u=86d41ab7fa4c7c2c5d7210782&amp;id=e21bb101f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607dee9f33&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b6911aba4&amp;e=d19e9fd41c" TargetMode="External"/><Relationship Id="rId17" Type="http://schemas.openxmlformats.org/officeDocument/2006/relationships/hyperlink" Target="https://psnc.us7.list-manage.com/track/click?u=86d41ab7fa4c7c2c5d7210782&amp;id=011e393156&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70f3fdb436&amp;e=d19e9fd41c" TargetMode="External"/><Relationship Id="rId20" Type="http://schemas.openxmlformats.org/officeDocument/2006/relationships/hyperlink" Target="https://psnc.us7.list-manage.com/track/click?u=86d41ab7fa4c7c2c5d7210782&amp;id=40c4ad73b3&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1eec16ba1&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cfbe6ebb3&amp;e=d19e9fd41c" TargetMode="External"/><Relationship Id="rId23" Type="http://schemas.openxmlformats.org/officeDocument/2006/relationships/hyperlink" Target="https://psnc.us7.list-manage.com/track/click?u=86d41ab7fa4c7c2c5d7210782&amp;id=04b2d5b413&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a5f87f8fae&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27ca37b374&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4347d5c524&amp;e=d19e9fd41c" TargetMode="External"/><Relationship Id="rId14" Type="http://schemas.openxmlformats.org/officeDocument/2006/relationships/hyperlink" Target="https://psnc.us7.list-manage.com/track/click?u=86d41ab7fa4c7c2c5d7210782&amp;id=38e5d7186e&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2021-11-08T08:43:00Z</dcterms:created>
  <dcterms:modified xsi:type="dcterms:W3CDTF">2021-11-08T08:45:00Z</dcterms:modified>
</cp:coreProperties>
</file>