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B0338" w14:paraId="01E29DDB" w14:textId="77777777" w:rsidTr="002B0338">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2B0338" w14:paraId="482457CB" w14:textId="77777777" w:rsidTr="002B0338">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B0338" w14:paraId="7A5ED0A3" w14:textId="77777777">
                    <w:trPr>
                      <w:tblCellSpacing w:w="0" w:type="dxa"/>
                      <w:jc w:val="center"/>
                    </w:trPr>
                    <w:tc>
                      <w:tcPr>
                        <w:tcW w:w="3000" w:type="dxa"/>
                        <w:hideMark/>
                      </w:tcPr>
                      <w:p w14:paraId="67F9EF50" w14:textId="27E7EE28" w:rsidR="002B0338" w:rsidRDefault="002B0338" w:rsidP="002B0338">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276F1BB" w14:textId="77777777" w:rsidR="002B0338" w:rsidRDefault="002B0338">
                  <w:pPr>
                    <w:jc w:val="center"/>
                    <w:rPr>
                      <w:rFonts w:ascii="Times New Roman" w:eastAsia="Times New Roman" w:hAnsi="Times New Roman" w:cs="Times New Roman"/>
                      <w:sz w:val="20"/>
                      <w:szCs w:val="20"/>
                    </w:rPr>
                  </w:pPr>
                </w:p>
              </w:tc>
            </w:tr>
            <w:tr w:rsidR="002B0338" w14:paraId="0E398B88" w14:textId="77777777" w:rsidTr="002B0338">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2B0338" w14:paraId="079852B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77250F3" w14:textId="16E88040" w:rsidR="002B0338" w:rsidRDefault="002B0338">
                        <w:pPr>
                          <w:jc w:val="center"/>
                          <w:rPr>
                            <w:rFonts w:eastAsia="Times New Roman"/>
                          </w:rPr>
                        </w:pPr>
                        <w:r>
                          <w:rPr>
                            <w:rFonts w:eastAsia="Times New Roman"/>
                            <w:noProof/>
                            <w:color w:val="0000FF"/>
                          </w:rPr>
                          <w:drawing>
                            <wp:inline distT="0" distB="0" distL="0" distR="0" wp14:anchorId="1144B77B" wp14:editId="2F3171D3">
                              <wp:extent cx="2857500" cy="1504950"/>
                              <wp:effectExtent l="0" t="0" r="0" b="0"/>
                              <wp:docPr id="2" name="Picture 2">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2B0338" w14:paraId="7BEE5C7B" w14:textId="77777777">
                    <w:trPr>
                      <w:tblCellSpacing w:w="0" w:type="dxa"/>
                    </w:trPr>
                    <w:tc>
                      <w:tcPr>
                        <w:tcW w:w="0" w:type="auto"/>
                        <w:vMerge/>
                        <w:tcBorders>
                          <w:top w:val="nil"/>
                          <w:left w:val="nil"/>
                          <w:bottom w:val="single" w:sz="2" w:space="0" w:color="FFFFFF"/>
                          <w:right w:val="nil"/>
                        </w:tcBorders>
                        <w:vAlign w:val="center"/>
                        <w:hideMark/>
                      </w:tcPr>
                      <w:p w14:paraId="79A93706" w14:textId="77777777" w:rsidR="002B0338" w:rsidRDefault="002B0338">
                        <w:pPr>
                          <w:rPr>
                            <w:rFonts w:eastAsia="Times New Roman"/>
                          </w:rPr>
                        </w:pPr>
                      </w:p>
                    </w:tc>
                    <w:tc>
                      <w:tcPr>
                        <w:tcW w:w="3450" w:type="dxa"/>
                        <w:tcBorders>
                          <w:top w:val="nil"/>
                          <w:left w:val="nil"/>
                          <w:bottom w:val="nil"/>
                          <w:right w:val="nil"/>
                        </w:tcBorders>
                        <w:vAlign w:val="center"/>
                        <w:hideMark/>
                      </w:tcPr>
                      <w:p w14:paraId="6BB0E281" w14:textId="77777777" w:rsidR="002B0338" w:rsidRDefault="002B0338">
                        <w:pPr>
                          <w:pStyle w:val="Heading1"/>
                          <w:rPr>
                            <w:rFonts w:eastAsia="Times New Roman"/>
                          </w:rPr>
                        </w:pPr>
                        <w:r>
                          <w:rPr>
                            <w:rFonts w:eastAsia="Times New Roman"/>
                          </w:rPr>
                          <w:t>Pharmacy Review Update</w:t>
                        </w:r>
                      </w:p>
                    </w:tc>
                  </w:tr>
                  <w:tr w:rsidR="002B0338" w14:paraId="1BF9466A" w14:textId="77777777">
                    <w:trPr>
                      <w:tblCellSpacing w:w="0" w:type="dxa"/>
                    </w:trPr>
                    <w:tc>
                      <w:tcPr>
                        <w:tcW w:w="0" w:type="auto"/>
                        <w:vMerge/>
                        <w:tcBorders>
                          <w:top w:val="nil"/>
                          <w:left w:val="nil"/>
                          <w:bottom w:val="single" w:sz="2" w:space="0" w:color="FFFFFF"/>
                          <w:right w:val="nil"/>
                        </w:tcBorders>
                        <w:vAlign w:val="center"/>
                        <w:hideMark/>
                      </w:tcPr>
                      <w:p w14:paraId="025ED100" w14:textId="77777777" w:rsidR="002B0338" w:rsidRDefault="002B033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A849949" w14:textId="77777777" w:rsidR="002B0338" w:rsidRDefault="002B0338">
                        <w:pPr>
                          <w:pStyle w:val="Heading2"/>
                          <w:rPr>
                            <w:rFonts w:eastAsia="Times New Roman"/>
                            <w:color w:val="3D857F"/>
                          </w:rPr>
                        </w:pPr>
                        <w:r>
                          <w:rPr>
                            <w:rFonts w:eastAsia="Times New Roman"/>
                            <w:color w:val="3D857F"/>
                          </w:rPr>
                          <w:t>Tuesday 19th October 2021</w:t>
                        </w:r>
                      </w:p>
                    </w:tc>
                  </w:tr>
                </w:tbl>
                <w:p w14:paraId="450F0027" w14:textId="77777777" w:rsidR="002B0338" w:rsidRDefault="002B0338">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2B0338" w14:paraId="18730876" w14:textId="77777777">
                    <w:trPr>
                      <w:tblCellSpacing w:w="0" w:type="dxa"/>
                    </w:trPr>
                    <w:tc>
                      <w:tcPr>
                        <w:tcW w:w="0" w:type="auto"/>
                        <w:shd w:val="clear" w:color="auto" w:fill="3D857F"/>
                        <w:tcMar>
                          <w:top w:w="75" w:type="dxa"/>
                          <w:left w:w="75" w:type="dxa"/>
                          <w:bottom w:w="75" w:type="dxa"/>
                          <w:right w:w="75" w:type="dxa"/>
                        </w:tcMar>
                        <w:vAlign w:val="center"/>
                        <w:hideMark/>
                      </w:tcPr>
                      <w:p w14:paraId="6B85B6D6" w14:textId="055DC38D" w:rsidR="002B0338" w:rsidRDefault="002B0338" w:rsidP="002B0338">
                        <w:pPr>
                          <w:pStyle w:val="Heading4"/>
                          <w:rPr>
                            <w:rFonts w:eastAsia="Times New Roman"/>
                          </w:rPr>
                        </w:pPr>
                      </w:p>
                    </w:tc>
                    <w:tc>
                      <w:tcPr>
                        <w:tcW w:w="0" w:type="auto"/>
                        <w:shd w:val="clear" w:color="auto" w:fill="3D857F"/>
                        <w:tcMar>
                          <w:top w:w="75" w:type="dxa"/>
                          <w:left w:w="75" w:type="dxa"/>
                          <w:bottom w:w="75" w:type="dxa"/>
                          <w:right w:w="75" w:type="dxa"/>
                        </w:tcMar>
                        <w:vAlign w:val="center"/>
                        <w:hideMark/>
                      </w:tcPr>
                      <w:p w14:paraId="03C43006" w14:textId="5E63493A" w:rsidR="002B0338" w:rsidRDefault="002B0338" w:rsidP="002B0338">
                        <w:pPr>
                          <w:pStyle w:val="Heading4"/>
                          <w:rPr>
                            <w:rFonts w:eastAsia="Times New Roman"/>
                          </w:rPr>
                        </w:pPr>
                      </w:p>
                    </w:tc>
                  </w:tr>
                </w:tbl>
                <w:p w14:paraId="101845C7" w14:textId="77777777" w:rsidR="002B0338" w:rsidRDefault="002B0338">
                  <w:pPr>
                    <w:rPr>
                      <w:rFonts w:ascii="Times New Roman" w:eastAsia="Times New Roman" w:hAnsi="Times New Roman" w:cs="Times New Roman"/>
                      <w:sz w:val="20"/>
                      <w:szCs w:val="20"/>
                    </w:rPr>
                  </w:pPr>
                </w:p>
              </w:tc>
            </w:tr>
            <w:tr w:rsidR="002B0338" w14:paraId="4F96E31A" w14:textId="77777777" w:rsidTr="002B0338">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2B0338" w14:paraId="39E3772E" w14:textId="77777777">
                    <w:trPr>
                      <w:trHeight w:val="150"/>
                      <w:tblCellSpacing w:w="15" w:type="dxa"/>
                      <w:jc w:val="center"/>
                    </w:trPr>
                    <w:tc>
                      <w:tcPr>
                        <w:tcW w:w="150" w:type="dxa"/>
                        <w:vAlign w:val="center"/>
                        <w:hideMark/>
                      </w:tcPr>
                      <w:p w14:paraId="50AAA8A3" w14:textId="77777777" w:rsidR="002B0338" w:rsidRDefault="002B0338"/>
                    </w:tc>
                    <w:tc>
                      <w:tcPr>
                        <w:tcW w:w="8700" w:type="dxa"/>
                        <w:vAlign w:val="center"/>
                        <w:hideMark/>
                      </w:tcPr>
                      <w:p w14:paraId="3E1452F3" w14:textId="77777777" w:rsidR="002B0338" w:rsidRDefault="002B0338">
                        <w:pPr>
                          <w:rPr>
                            <w:rFonts w:ascii="Times New Roman" w:eastAsia="Times New Roman" w:hAnsi="Times New Roman" w:cs="Times New Roman"/>
                            <w:sz w:val="20"/>
                            <w:szCs w:val="20"/>
                          </w:rPr>
                        </w:pPr>
                      </w:p>
                    </w:tc>
                    <w:tc>
                      <w:tcPr>
                        <w:tcW w:w="150" w:type="dxa"/>
                        <w:vAlign w:val="center"/>
                        <w:hideMark/>
                      </w:tcPr>
                      <w:p w14:paraId="2CBF1709" w14:textId="77777777" w:rsidR="002B0338" w:rsidRDefault="002B0338">
                        <w:pPr>
                          <w:rPr>
                            <w:rFonts w:ascii="Times New Roman" w:eastAsia="Times New Roman" w:hAnsi="Times New Roman" w:cs="Times New Roman"/>
                            <w:sz w:val="20"/>
                            <w:szCs w:val="20"/>
                          </w:rPr>
                        </w:pPr>
                      </w:p>
                    </w:tc>
                  </w:tr>
                  <w:tr w:rsidR="002B0338" w14:paraId="5C452BB0" w14:textId="77777777">
                    <w:trPr>
                      <w:tblCellSpacing w:w="15" w:type="dxa"/>
                      <w:jc w:val="center"/>
                    </w:trPr>
                    <w:tc>
                      <w:tcPr>
                        <w:tcW w:w="150" w:type="dxa"/>
                        <w:vAlign w:val="center"/>
                        <w:hideMark/>
                      </w:tcPr>
                      <w:p w14:paraId="6660016A" w14:textId="77777777" w:rsidR="002B0338" w:rsidRDefault="002B0338">
                        <w:pPr>
                          <w:rPr>
                            <w:rFonts w:ascii="Times New Roman" w:eastAsia="Times New Roman" w:hAnsi="Times New Roman" w:cs="Times New Roman"/>
                            <w:sz w:val="20"/>
                            <w:szCs w:val="20"/>
                          </w:rPr>
                        </w:pPr>
                      </w:p>
                    </w:tc>
                    <w:tc>
                      <w:tcPr>
                        <w:tcW w:w="8700" w:type="dxa"/>
                        <w:vAlign w:val="center"/>
                        <w:hideMark/>
                      </w:tcPr>
                      <w:p w14:paraId="0C233A52" w14:textId="77777777" w:rsidR="002B0338" w:rsidRDefault="002B0338">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(RSG) contains information on its work to try to improve community pharmacy contractor support and representation.</w:t>
                        </w:r>
                      </w:p>
                      <w:p w14:paraId="3E81041A" w14:textId="77777777" w:rsidR="002B0338" w:rsidRDefault="002B033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43F9C30">
                            <v:rect id="_x0000_i1027" style="width:468pt;height:1.5pt" o:hralign="center" o:hrstd="t" o:hr="t" fillcolor="#a0a0a0" stroked="f"/>
                          </w:pict>
                        </w:r>
                      </w:p>
                      <w:p w14:paraId="768728A4" w14:textId="77777777" w:rsidR="002B0338" w:rsidRDefault="002B0338">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3A2F1B8E" w14:textId="77777777" w:rsidR="002B0338" w:rsidRDefault="002B0338">
                        <w:pPr>
                          <w:pStyle w:val="Heading2"/>
                          <w:rPr>
                            <w:rFonts w:eastAsia="Times New Roman"/>
                          </w:rPr>
                        </w:pPr>
                        <w:r>
                          <w:rPr>
                            <w:rFonts w:eastAsia="Times New Roman"/>
                          </w:rPr>
                          <w:t>In this update: Pharmacy Show 2021, </w:t>
                        </w:r>
                        <w:r>
                          <w:rPr>
                            <w:rStyle w:val="Strong"/>
                            <w:rFonts w:eastAsia="Times New Roman"/>
                            <w:b/>
                            <w:bCs/>
                          </w:rPr>
                          <w:t>Focus group update, Contractor voting process</w:t>
                        </w:r>
                      </w:p>
                      <w:p w14:paraId="3C40F9B7" w14:textId="77777777" w:rsidR="002B0338" w:rsidRDefault="002B033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757A13F">
                            <v:rect id="_x0000_i1028" style="width:468pt;height:1.5pt" o:hralign="center" o:hrstd="t" o:hr="t" fillcolor="#a0a0a0" stroked="f"/>
                          </w:pict>
                        </w:r>
                      </w:p>
                      <w:p w14:paraId="23B8C73C" w14:textId="77777777" w:rsidR="002B0338" w:rsidRDefault="002B0338">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02C015E7" w14:textId="77777777" w:rsidR="002B0338" w:rsidRDefault="002B0338">
                        <w:pPr>
                          <w:pStyle w:val="Heading3"/>
                          <w:rPr>
                            <w:rFonts w:eastAsia="Times New Roman"/>
                          </w:rPr>
                        </w:pPr>
                        <w:r>
                          <w:rPr>
                            <w:rStyle w:val="Strong"/>
                            <w:rFonts w:eastAsia="Times New Roman"/>
                            <w:b/>
                            <w:bCs/>
                          </w:rPr>
                          <w:t>RSG at the Pharmacy Show 2021, Birmingham</w:t>
                        </w:r>
                      </w:p>
                      <w:p w14:paraId="1E14EEE0" w14:textId="77777777" w:rsidR="002B0338" w:rsidRDefault="002B0338" w:rsidP="002B0338">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The RSG delivered a progress update at the Pharmacy Show on 17th October, with a repeat session on 18th October. Sandeep </w:t>
                        </w:r>
                        <w:proofErr w:type="spellStart"/>
                        <w:r>
                          <w:rPr>
                            <w:rFonts w:ascii="Tahoma" w:hAnsi="Tahoma" w:cs="Tahoma"/>
                            <w:color w:val="303030"/>
                            <w:sz w:val="21"/>
                            <w:szCs w:val="21"/>
                          </w:rPr>
                          <w:t>Dhami</w:t>
                        </w:r>
                        <w:proofErr w:type="spellEnd"/>
                        <w:r>
                          <w:rPr>
                            <w:rFonts w:ascii="Tahoma" w:hAnsi="Tahoma" w:cs="Tahoma"/>
                            <w:color w:val="303030"/>
                            <w:sz w:val="21"/>
                            <w:szCs w:val="21"/>
                          </w:rPr>
                          <w:t>, James Wood and Deep Sen Gupta presented in person to a well-attended Keynote Theatre, with a highly informed and constructive audience Q&amp;A afterward.</w:t>
                        </w:r>
                        <w:r>
                          <w:rPr>
                            <w:rFonts w:ascii="Tahoma" w:hAnsi="Tahoma" w:cs="Tahoma"/>
                            <w:color w:val="303030"/>
                            <w:sz w:val="21"/>
                            <w:szCs w:val="21"/>
                          </w:rPr>
                          <w:br/>
                          <w:t> </w:t>
                        </w:r>
                        <w:r>
                          <w:rPr>
                            <w:rFonts w:ascii="Tahoma" w:hAnsi="Tahoma" w:cs="Tahoma"/>
                            <w:color w:val="303030"/>
                            <w:sz w:val="21"/>
                            <w:szCs w:val="21"/>
                          </w:rPr>
                          <w:br/>
                          <w:t xml:space="preserve">Slides from the session are </w:t>
                        </w:r>
                        <w:hyperlink r:id="rId8" w:tgtFrame="_blank" w:history="1">
                          <w:r>
                            <w:rPr>
                              <w:rStyle w:val="Hyperlink"/>
                              <w:b/>
                              <w:bCs/>
                              <w:color w:val="3D857F"/>
                              <w:sz w:val="21"/>
                              <w:szCs w:val="21"/>
                            </w:rPr>
                            <w:t>now available</w:t>
                          </w:r>
                        </w:hyperlink>
                        <w:r>
                          <w:rPr>
                            <w:rFonts w:ascii="Tahoma" w:hAnsi="Tahoma" w:cs="Tahoma"/>
                            <w:color w:val="303030"/>
                            <w:sz w:val="21"/>
                            <w:szCs w:val="21"/>
                          </w:rPr>
                          <w:t xml:space="preserve"> to view on the RSG website. We emphasised to the audience that in January 2021, the RSG was tasked with producing a contractor-led and designed decision-making process for the proposals to be put to the sector. A key pillar of RSG ways of working was to collaborate with the sector in the development of the proposal. We have committed to do so in an iterative and consultative manner </w:t>
                        </w:r>
                        <w:proofErr w:type="gramStart"/>
                        <w:r>
                          <w:rPr>
                            <w:rFonts w:ascii="Tahoma" w:hAnsi="Tahoma" w:cs="Tahoma"/>
                            <w:color w:val="303030"/>
                            <w:sz w:val="21"/>
                            <w:szCs w:val="21"/>
                          </w:rPr>
                          <w:t>in order to</w:t>
                        </w:r>
                        <w:proofErr w:type="gramEnd"/>
                        <w:r>
                          <w:rPr>
                            <w:rFonts w:ascii="Tahoma" w:hAnsi="Tahoma" w:cs="Tahoma"/>
                            <w:color w:val="303030"/>
                            <w:sz w:val="21"/>
                            <w:szCs w:val="21"/>
                          </w:rPr>
                          <w:t xml:space="preserve"> produce a proposal that would have broad support, with direct involvement and open feedback from contractors.</w:t>
                        </w:r>
                        <w:r>
                          <w:rPr>
                            <w:rFonts w:ascii="Tahoma" w:hAnsi="Tahoma" w:cs="Tahoma"/>
                            <w:color w:val="303030"/>
                            <w:sz w:val="21"/>
                            <w:szCs w:val="21"/>
                          </w:rPr>
                          <w:br/>
                          <w:t> </w:t>
                        </w:r>
                        <w:r>
                          <w:rPr>
                            <w:rFonts w:ascii="Tahoma" w:hAnsi="Tahoma" w:cs="Tahoma"/>
                            <w:color w:val="303030"/>
                            <w:sz w:val="21"/>
                            <w:szCs w:val="21"/>
                          </w:rPr>
                          <w:br/>
                          <w:t>In summary, the following were the key messages delivered at the Pharmacy Show:</w:t>
                        </w:r>
                      </w:p>
                      <w:p w14:paraId="241CC472" w14:textId="77777777" w:rsidR="002B0338" w:rsidRDefault="002B0338" w:rsidP="002B0338">
                        <w:pPr>
                          <w:numPr>
                            <w:ilvl w:val="0"/>
                            <w:numId w:val="1"/>
                          </w:numPr>
                          <w:rPr>
                            <w:rFonts w:ascii="Tahoma" w:eastAsia="Times New Roman" w:hAnsi="Tahoma" w:cs="Tahoma"/>
                            <w:color w:val="303030"/>
                            <w:sz w:val="21"/>
                            <w:szCs w:val="21"/>
                          </w:rPr>
                        </w:pPr>
                        <w:r>
                          <w:rPr>
                            <w:rStyle w:val="Strong"/>
                            <w:rFonts w:ascii="Tahoma" w:eastAsia="Times New Roman" w:hAnsi="Tahoma" w:cs="Tahoma"/>
                            <w:color w:val="303030"/>
                            <w:sz w:val="21"/>
                            <w:szCs w:val="21"/>
                          </w:rPr>
                          <w:t>Programme plan:</w:t>
                        </w:r>
                        <w:r>
                          <w:rPr>
                            <w:rFonts w:ascii="Tahoma" w:eastAsia="Times New Roman" w:hAnsi="Tahoma" w:cs="Tahoma"/>
                            <w:color w:val="303030"/>
                            <w:sz w:val="21"/>
                            <w:szCs w:val="21"/>
                          </w:rPr>
                          <w:t xml:space="preserve"> The programme is on track to deliver </w:t>
                        </w:r>
                        <w:hyperlink r:id="rId9" w:tgtFrame="_blank" w:history="1">
                          <w:r>
                            <w:rPr>
                              <w:rStyle w:val="Hyperlink"/>
                              <w:rFonts w:eastAsia="Times New Roman"/>
                              <w:b/>
                              <w:bCs/>
                              <w:color w:val="3D857F"/>
                              <w:sz w:val="21"/>
                              <w:szCs w:val="21"/>
                            </w:rPr>
                            <w:t>against the timeline.</w:t>
                          </w:r>
                        </w:hyperlink>
                        <w:r>
                          <w:rPr>
                            <w:rFonts w:ascii="Tahoma" w:eastAsia="Times New Roman" w:hAnsi="Tahoma" w:cs="Tahoma"/>
                            <w:color w:val="303030"/>
                            <w:sz w:val="21"/>
                            <w:szCs w:val="21"/>
                          </w:rPr>
                          <w:t xml:space="preserve"> In October it is taking and collating key input from stakeholders on the subject of representative future structures (see Focus Groups section below)</w:t>
                        </w:r>
                      </w:p>
                      <w:p w14:paraId="7EA91550" w14:textId="77777777" w:rsidR="002B0338" w:rsidRDefault="002B0338" w:rsidP="002B0338">
                        <w:pPr>
                          <w:numPr>
                            <w:ilvl w:val="0"/>
                            <w:numId w:val="1"/>
                          </w:numPr>
                          <w:rPr>
                            <w:rFonts w:ascii="Tahoma" w:eastAsia="Times New Roman" w:hAnsi="Tahoma" w:cs="Tahoma"/>
                            <w:color w:val="303030"/>
                            <w:sz w:val="21"/>
                            <w:szCs w:val="21"/>
                          </w:rPr>
                        </w:pPr>
                        <w:r>
                          <w:rPr>
                            <w:rStyle w:val="Strong"/>
                            <w:rFonts w:ascii="Tahoma" w:eastAsia="Times New Roman" w:hAnsi="Tahoma" w:cs="Tahoma"/>
                            <w:color w:val="303030"/>
                            <w:sz w:val="21"/>
                            <w:szCs w:val="21"/>
                          </w:rPr>
                          <w:t>Engagement:</w:t>
                        </w:r>
                        <w:r>
                          <w:rPr>
                            <w:rFonts w:ascii="Tahoma" w:eastAsia="Times New Roman" w:hAnsi="Tahoma" w:cs="Tahoma"/>
                            <w:color w:val="303030"/>
                            <w:sz w:val="21"/>
                            <w:szCs w:val="21"/>
                          </w:rPr>
                          <w:t> Overall engagement from across the sector has been impressive, with over 5,000 people reading our emails, and 11,500 visits to the RSG website. We would always like more, and encourage you to take the opportunity to register your views</w:t>
                        </w:r>
                      </w:p>
                      <w:p w14:paraId="37A39E57" w14:textId="77777777" w:rsidR="002B0338" w:rsidRDefault="002B0338" w:rsidP="002B0338">
                        <w:pPr>
                          <w:numPr>
                            <w:ilvl w:val="0"/>
                            <w:numId w:val="1"/>
                          </w:numPr>
                          <w:rPr>
                            <w:rFonts w:ascii="Tahoma" w:eastAsia="Times New Roman" w:hAnsi="Tahoma" w:cs="Tahoma"/>
                            <w:color w:val="303030"/>
                            <w:sz w:val="21"/>
                            <w:szCs w:val="21"/>
                          </w:rPr>
                        </w:pPr>
                        <w:r>
                          <w:rPr>
                            <w:rStyle w:val="Strong"/>
                            <w:rFonts w:ascii="Tahoma" w:eastAsia="Times New Roman" w:hAnsi="Tahoma" w:cs="Tahoma"/>
                            <w:color w:val="303030"/>
                            <w:sz w:val="21"/>
                            <w:szCs w:val="21"/>
                          </w:rPr>
                          <w:t>Role of future local organisations:</w:t>
                        </w:r>
                        <w:r>
                          <w:rPr>
                            <w:rFonts w:ascii="Tahoma" w:eastAsia="Times New Roman" w:hAnsi="Tahoma" w:cs="Tahoma"/>
                            <w:color w:val="303030"/>
                            <w:sz w:val="21"/>
                            <w:szCs w:val="21"/>
                          </w:rPr>
                          <w:t xml:space="preserve"> We shared updates from the focus group feedback in the summer where representatives across the sector came together to give their views on the roles of local and national representative organisations. Key takeaways from those sessions can be found in full </w:t>
                        </w:r>
                        <w:hyperlink r:id="rId10" w:tgtFrame="_blank" w:history="1">
                          <w:r>
                            <w:rPr>
                              <w:rStyle w:val="Hyperlink"/>
                              <w:rFonts w:eastAsia="Times New Roman"/>
                              <w:b/>
                              <w:bCs/>
                              <w:color w:val="3D857F"/>
                              <w:sz w:val="21"/>
                              <w:szCs w:val="21"/>
                            </w:rPr>
                            <w:t>here.</w:t>
                          </w:r>
                        </w:hyperlink>
                      </w:p>
                      <w:p w14:paraId="1AFE4840" w14:textId="77777777" w:rsidR="002B0338" w:rsidRDefault="002B0338" w:rsidP="002B0338">
                        <w:pPr>
                          <w:numPr>
                            <w:ilvl w:val="0"/>
                            <w:numId w:val="1"/>
                          </w:numPr>
                          <w:rPr>
                            <w:rFonts w:ascii="Tahoma" w:eastAsia="Times New Roman" w:hAnsi="Tahoma" w:cs="Tahoma"/>
                            <w:color w:val="303030"/>
                            <w:sz w:val="21"/>
                            <w:szCs w:val="21"/>
                          </w:rPr>
                        </w:pPr>
                        <w:r>
                          <w:rPr>
                            <w:rStyle w:val="Strong"/>
                            <w:rFonts w:ascii="Tahoma" w:eastAsia="Times New Roman" w:hAnsi="Tahoma" w:cs="Tahoma"/>
                            <w:color w:val="303030"/>
                            <w:sz w:val="21"/>
                            <w:szCs w:val="21"/>
                          </w:rPr>
                          <w:lastRenderedPageBreak/>
                          <w:t>On NHS ICS alignment and LPCs:</w:t>
                        </w:r>
                        <w:r>
                          <w:rPr>
                            <w:rFonts w:ascii="Tahoma" w:eastAsia="Times New Roman" w:hAnsi="Tahoma" w:cs="Tahoma"/>
                            <w:color w:val="303030"/>
                            <w:sz w:val="21"/>
                            <w:szCs w:val="21"/>
                          </w:rPr>
                          <w:t> RSG has received overwhelming feedback supporting the alignment of a future LPC network to ICS in the new NHS structures. Aligning pharmacy representation with NHS structures will maximise community pharmacy influence at system level including positioning it as a key frontline healthcare provider and recognised contributor to achieving NHS targets </w:t>
                        </w:r>
                      </w:p>
                      <w:p w14:paraId="28266E28" w14:textId="77777777" w:rsidR="002B0338" w:rsidRDefault="002B0338" w:rsidP="002B0338">
                        <w:pPr>
                          <w:numPr>
                            <w:ilvl w:val="0"/>
                            <w:numId w:val="1"/>
                          </w:numPr>
                          <w:rPr>
                            <w:rFonts w:ascii="Tahoma" w:eastAsia="Times New Roman" w:hAnsi="Tahoma" w:cs="Tahoma"/>
                            <w:color w:val="303030"/>
                            <w:sz w:val="21"/>
                            <w:szCs w:val="21"/>
                          </w:rPr>
                        </w:pPr>
                        <w:r>
                          <w:rPr>
                            <w:rStyle w:val="Strong"/>
                            <w:rFonts w:ascii="Tahoma" w:eastAsia="Times New Roman" w:hAnsi="Tahoma" w:cs="Tahoma"/>
                            <w:color w:val="303030"/>
                            <w:sz w:val="21"/>
                            <w:szCs w:val="21"/>
                          </w:rPr>
                          <w:t>Representation:</w:t>
                        </w:r>
                        <w:r>
                          <w:rPr>
                            <w:rFonts w:ascii="Tahoma" w:eastAsia="Times New Roman" w:hAnsi="Tahoma" w:cs="Tahoma"/>
                            <w:color w:val="303030"/>
                            <w:sz w:val="21"/>
                            <w:szCs w:val="21"/>
                          </w:rPr>
                          <w:t> Now that we have defined the roles, RSG will start to explore, with the input of focus groups, how contractors should be represented in the new organisation; and what wider structure and governance is needed to ensure the local and national organisations are set up to deliver the best possible services to contractors.</w:t>
                        </w:r>
                      </w:p>
                      <w:p w14:paraId="655CC321" w14:textId="77777777" w:rsidR="002B0338" w:rsidRDefault="002B0338" w:rsidP="002B0338">
                        <w:pPr>
                          <w:numPr>
                            <w:ilvl w:val="0"/>
                            <w:numId w:val="1"/>
                          </w:numPr>
                          <w:rPr>
                            <w:rFonts w:ascii="Tahoma" w:eastAsia="Times New Roman" w:hAnsi="Tahoma" w:cs="Tahoma"/>
                            <w:color w:val="303030"/>
                            <w:sz w:val="21"/>
                            <w:szCs w:val="21"/>
                          </w:rPr>
                        </w:pPr>
                        <w:r>
                          <w:rPr>
                            <w:rStyle w:val="Strong"/>
                            <w:rFonts w:ascii="Tahoma" w:eastAsia="Times New Roman" w:hAnsi="Tahoma" w:cs="Tahoma"/>
                            <w:color w:val="303030"/>
                            <w:sz w:val="21"/>
                            <w:szCs w:val="21"/>
                          </w:rPr>
                          <w:t>Contractor vote:</w:t>
                        </w:r>
                        <w:r>
                          <w:rPr>
                            <w:rFonts w:ascii="Tahoma" w:eastAsia="Times New Roman" w:hAnsi="Tahoma" w:cs="Tahoma"/>
                            <w:color w:val="303030"/>
                            <w:sz w:val="21"/>
                            <w:szCs w:val="21"/>
                          </w:rPr>
                          <w:t> An update on the voting process (see below).</w:t>
                        </w:r>
                      </w:p>
                      <w:p w14:paraId="32B6B795" w14:textId="77777777" w:rsidR="002B0338" w:rsidRDefault="002B0338">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26ADACDE" w14:textId="77777777" w:rsidR="002B0338" w:rsidRDefault="002B033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7D1D67D">
                            <v:rect id="_x0000_i1029" style="width:468pt;height:1.5pt" o:hralign="center" o:hrstd="t" o:hr="t" fillcolor="#a0a0a0" stroked="f"/>
                          </w:pict>
                        </w:r>
                      </w:p>
                      <w:p w14:paraId="6FCD7D0A" w14:textId="77777777" w:rsidR="002B0338" w:rsidRDefault="002B0338">
                        <w:pPr>
                          <w:pStyle w:val="Heading3"/>
                          <w:rPr>
                            <w:rFonts w:eastAsia="Times New Roman"/>
                          </w:rPr>
                        </w:pPr>
                        <w:r>
                          <w:rPr>
                            <w:rStyle w:val="Strong"/>
                            <w:rFonts w:eastAsia="Times New Roman"/>
                            <w:b/>
                            <w:bCs/>
                          </w:rPr>
                          <w:t>Reminder: Last chance to sign up for Focus Groups</w:t>
                        </w:r>
                      </w:p>
                      <w:p w14:paraId="3942D1E8" w14:textId="77777777" w:rsidR="002B0338" w:rsidRDefault="002B0338" w:rsidP="002B0338">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Review Steering Group is holding a second round of online focus groups, this time discussing representation and structure. A successful session was held last Thursday with the final two happening this Wednesday and Friday. </w:t>
                        </w:r>
                        <w:r>
                          <w:rPr>
                            <w:rFonts w:ascii="Tahoma" w:hAnsi="Tahoma" w:cs="Tahoma"/>
                            <w:color w:val="303030"/>
                            <w:sz w:val="21"/>
                            <w:szCs w:val="21"/>
                          </w:rPr>
                          <w:br/>
                          <w:t> </w:t>
                        </w:r>
                        <w:r>
                          <w:rPr>
                            <w:rFonts w:ascii="Tahoma" w:hAnsi="Tahoma" w:cs="Tahoma"/>
                            <w:color w:val="303030"/>
                            <w:sz w:val="21"/>
                            <w:szCs w:val="21"/>
                          </w:rPr>
                          <w:br/>
                          <w:t>Now that we have defined the roles of local and national representation, we are starting to explore what wider structure and governance is needed to ensure the local and national organisations are set up to deliver the best possible services to contractors. We’ll be considering how they interact with other bodies and how contractors’ views should feed into them. </w:t>
                        </w:r>
                        <w:r>
                          <w:rPr>
                            <w:rFonts w:ascii="Tahoma" w:hAnsi="Tahoma" w:cs="Tahoma"/>
                            <w:color w:val="303030"/>
                            <w:sz w:val="21"/>
                            <w:szCs w:val="21"/>
                          </w:rPr>
                          <w:br/>
                          <w:t> </w:t>
                        </w:r>
                        <w:r>
                          <w:rPr>
                            <w:rFonts w:ascii="Tahoma" w:hAnsi="Tahoma" w:cs="Tahoma"/>
                            <w:color w:val="303030"/>
                            <w:sz w:val="21"/>
                            <w:szCs w:val="21"/>
                          </w:rPr>
                          <w:br/>
                          <w:t>At the focus groups the RSG will also be able to offer updates on the contractor voting process and on some of the analysis we have been doing around the wider NHS landscape and how that is relevant to contractor representation and support. </w:t>
                        </w:r>
                        <w:r>
                          <w:rPr>
                            <w:rFonts w:ascii="Tahoma" w:hAnsi="Tahoma" w:cs="Tahoma"/>
                            <w:color w:val="303030"/>
                            <w:sz w:val="21"/>
                            <w:szCs w:val="21"/>
                          </w:rPr>
                          <w:br/>
                          <w:t> </w:t>
                        </w:r>
                        <w:r>
                          <w:rPr>
                            <w:rFonts w:ascii="Tahoma" w:hAnsi="Tahoma" w:cs="Tahoma"/>
                            <w:color w:val="303030"/>
                            <w:sz w:val="21"/>
                            <w:szCs w:val="21"/>
                          </w:rPr>
                          <w:br/>
                          <w:t>Contractors, LPCs, PSNC Members and contractor trade body representatives are being invited to attend one of the two remaining focus groups scheduled in October, taking place over Zoom: </w:t>
                        </w:r>
                        <w:r>
                          <w:rPr>
                            <w:rFonts w:ascii="Tahoma" w:hAnsi="Tahoma" w:cs="Tahoma"/>
                            <w:color w:val="303030"/>
                            <w:sz w:val="21"/>
                            <w:szCs w:val="21"/>
                          </w:rPr>
                          <w:br/>
                          <w:t> </w:t>
                        </w:r>
                        <w:r>
                          <w:rPr>
                            <w:rFonts w:ascii="Tahoma" w:hAnsi="Tahoma" w:cs="Tahoma"/>
                            <w:color w:val="303030"/>
                            <w:sz w:val="21"/>
                            <w:szCs w:val="21"/>
                          </w:rPr>
                          <w:br/>
                        </w:r>
                        <w:r>
                          <w:rPr>
                            <w:rStyle w:val="Strong"/>
                            <w:rFonts w:ascii="Tahoma" w:hAnsi="Tahoma" w:cs="Tahoma"/>
                            <w:color w:val="303030"/>
                            <w:sz w:val="21"/>
                            <w:szCs w:val="21"/>
                          </w:rPr>
                          <w:t>Dates</w:t>
                        </w:r>
                        <w:r>
                          <w:rPr>
                            <w:rFonts w:ascii="Tahoma" w:hAnsi="Tahoma" w:cs="Tahoma"/>
                            <w:color w:val="303030"/>
                            <w:sz w:val="21"/>
                            <w:szCs w:val="21"/>
                          </w:rPr>
                          <w:br/>
                          <w:t>20th October, 19.30 – 20.30</w:t>
                        </w:r>
                        <w:r>
                          <w:rPr>
                            <w:rFonts w:ascii="Tahoma" w:hAnsi="Tahoma" w:cs="Tahoma"/>
                            <w:color w:val="303030"/>
                            <w:sz w:val="21"/>
                            <w:szCs w:val="21"/>
                          </w:rPr>
                          <w:br/>
                          <w:t>22nd October, 13.00 – 14.00 </w:t>
                        </w:r>
                        <w:r>
                          <w:rPr>
                            <w:rFonts w:ascii="Tahoma" w:hAnsi="Tahoma" w:cs="Tahoma"/>
                            <w:color w:val="303030"/>
                            <w:sz w:val="21"/>
                            <w:szCs w:val="21"/>
                          </w:rPr>
                          <w:br/>
                          <w:t> </w:t>
                        </w:r>
                        <w:r>
                          <w:rPr>
                            <w:rFonts w:ascii="Tahoma" w:hAnsi="Tahoma" w:cs="Tahoma"/>
                            <w:color w:val="303030"/>
                            <w:sz w:val="21"/>
                            <w:szCs w:val="21"/>
                          </w:rPr>
                          <w:br/>
                          <w:t>To register your attendance at the focus groups, please click </w:t>
                        </w:r>
                        <w:hyperlink r:id="rId11" w:tgtFrame="_blank" w:history="1">
                          <w:r>
                            <w:rPr>
                              <w:rStyle w:val="Hyperlink"/>
                              <w:b/>
                              <w:bCs/>
                              <w:color w:val="3D857F"/>
                              <w:sz w:val="21"/>
                              <w:szCs w:val="21"/>
                            </w:rPr>
                            <w:t>here</w:t>
                          </w:r>
                        </w:hyperlink>
                        <w:r>
                          <w:rPr>
                            <w:rFonts w:ascii="Tahoma" w:hAnsi="Tahoma" w:cs="Tahoma"/>
                            <w:color w:val="303030"/>
                            <w:sz w:val="21"/>
                            <w:szCs w:val="21"/>
                          </w:rPr>
                          <w:t>.</w:t>
                        </w:r>
                      </w:p>
                      <w:p w14:paraId="67519728" w14:textId="77777777" w:rsidR="002B0338" w:rsidRDefault="002B0338" w:rsidP="002B0338">
                        <w:pPr>
                          <w:pStyle w:val="Heading3"/>
                          <w:spacing w:after="0" w:line="240" w:lineRule="auto"/>
                          <w:rPr>
                            <w:rFonts w:eastAsia="Times New Roman"/>
                            <w:sz w:val="23"/>
                            <w:szCs w:val="23"/>
                          </w:rPr>
                        </w:pPr>
                      </w:p>
                      <w:p w14:paraId="537B9310" w14:textId="504AF97A" w:rsidR="002B0338" w:rsidRDefault="002B0338" w:rsidP="002B0338">
                        <w:pPr>
                          <w:pStyle w:val="Heading3"/>
                          <w:spacing w:after="0" w:line="240" w:lineRule="auto"/>
                          <w:rPr>
                            <w:rFonts w:eastAsia="Times New Roman"/>
                          </w:rPr>
                        </w:pPr>
                        <w:r>
                          <w:rPr>
                            <w:rFonts w:eastAsia="Times New Roman"/>
                            <w:sz w:val="23"/>
                            <w:szCs w:val="23"/>
                          </w:rPr>
                          <w:t>If you cannot attend</w:t>
                        </w:r>
                      </w:p>
                      <w:p w14:paraId="46C5A83A" w14:textId="77777777" w:rsidR="002B0338" w:rsidRDefault="002B0338" w:rsidP="002B0338">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It is important that we hear from as many contractors as possible and we hope that having daytime and evening sessions makes these events more accessible for everyone. However, if you can’t attend any of these meetings, there is still an opportunity to submit feedback online.</w:t>
                        </w:r>
                      </w:p>
                      <w:p w14:paraId="46148111" w14:textId="77777777" w:rsidR="002B0338" w:rsidRDefault="002B0338" w:rsidP="002B0338">
                        <w:pPr>
                          <w:pStyle w:val="NormalWeb"/>
                          <w:spacing w:before="0" w:beforeAutospacing="0" w:after="0" w:afterAutospacing="0"/>
                          <w:rPr>
                            <w:rFonts w:ascii="Tahoma" w:hAnsi="Tahoma" w:cs="Tahoma"/>
                            <w:color w:val="303030"/>
                            <w:sz w:val="21"/>
                            <w:szCs w:val="21"/>
                          </w:rPr>
                        </w:pPr>
                      </w:p>
                      <w:p w14:paraId="27D383A0" w14:textId="4020D191" w:rsidR="002B0338" w:rsidRDefault="002B0338" w:rsidP="002B0338">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Those contractors unable to attend one of the focus groups are encouraged to </w:t>
                        </w:r>
                        <w:hyperlink r:id="rId12" w:tgtFrame="_blank" w:history="1">
                          <w:r>
                            <w:rPr>
                              <w:rStyle w:val="Hyperlink"/>
                              <w:b/>
                              <w:bCs/>
                              <w:color w:val="3D857F"/>
                              <w:sz w:val="21"/>
                              <w:szCs w:val="21"/>
                            </w:rPr>
                            <w:t>read these slides</w:t>
                          </w:r>
                        </w:hyperlink>
                        <w:r>
                          <w:rPr>
                            <w:rFonts w:ascii="Tahoma" w:hAnsi="Tahoma" w:cs="Tahoma"/>
                            <w:color w:val="303030"/>
                            <w:sz w:val="21"/>
                            <w:szCs w:val="21"/>
                          </w:rPr>
                          <w:t> and share their views via </w:t>
                        </w:r>
                        <w:hyperlink r:id="rId13" w:tgtFrame="_blank" w:history="1">
                          <w:r>
                            <w:rPr>
                              <w:rStyle w:val="Hyperlink"/>
                              <w:b/>
                              <w:bCs/>
                              <w:color w:val="3D857F"/>
                              <w:sz w:val="21"/>
                              <w:szCs w:val="21"/>
                            </w:rPr>
                            <w:t>review@pharmacy-review.org</w:t>
                          </w:r>
                        </w:hyperlink>
                        <w:r>
                          <w:rPr>
                            <w:rFonts w:ascii="Tahoma" w:hAnsi="Tahoma" w:cs="Tahoma"/>
                            <w:color w:val="303030"/>
                            <w:sz w:val="21"/>
                            <w:szCs w:val="21"/>
                          </w:rPr>
                          <w:t> before </w:t>
                        </w:r>
                        <w:r>
                          <w:rPr>
                            <w:rStyle w:val="Strong"/>
                            <w:rFonts w:ascii="Tahoma" w:hAnsi="Tahoma" w:cs="Tahoma"/>
                            <w:color w:val="303030"/>
                            <w:sz w:val="21"/>
                            <w:szCs w:val="21"/>
                          </w:rPr>
                          <w:t>Sunday 31st October</w:t>
                        </w:r>
                        <w:r>
                          <w:rPr>
                            <w:rFonts w:ascii="Tahoma" w:hAnsi="Tahoma" w:cs="Tahoma"/>
                            <w:color w:val="303030"/>
                            <w:sz w:val="21"/>
                            <w:szCs w:val="21"/>
                          </w:rPr>
                          <w:t>.</w:t>
                        </w:r>
                        <w:r>
                          <w:rPr>
                            <w:rFonts w:ascii="Tahoma" w:hAnsi="Tahoma" w:cs="Tahoma"/>
                            <w:color w:val="303030"/>
                            <w:sz w:val="21"/>
                            <w:szCs w:val="21"/>
                          </w:rPr>
                          <w:br/>
                          <w:t>  </w:t>
                        </w:r>
                      </w:p>
                      <w:p w14:paraId="786D60B2" w14:textId="77777777" w:rsidR="002B0338" w:rsidRDefault="002B033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81E42C4">
                            <v:rect id="_x0000_i1030" style="width:468pt;height:1.5pt" o:hralign="center" o:hrstd="t" o:hr="t" fillcolor="#a0a0a0" stroked="f"/>
                          </w:pict>
                        </w:r>
                      </w:p>
                      <w:p w14:paraId="1723891F" w14:textId="77777777" w:rsidR="002B0338" w:rsidRDefault="002B0338">
                        <w:pPr>
                          <w:pStyle w:val="Heading3"/>
                          <w:rPr>
                            <w:rFonts w:eastAsia="Times New Roman"/>
                          </w:rPr>
                        </w:pPr>
                        <w:r>
                          <w:rPr>
                            <w:rStyle w:val="Strong"/>
                            <w:rFonts w:eastAsia="Times New Roman"/>
                            <w:b/>
                            <w:bCs/>
                          </w:rPr>
                          <w:t>RSG releases its working plan for the Contractor Voting Process</w:t>
                        </w:r>
                      </w:p>
                      <w:p w14:paraId="495038DC" w14:textId="15C501F7" w:rsidR="002B0338" w:rsidRDefault="002B0338" w:rsidP="002B0338">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The Pharmacy Review Steering Group (RSG) has today published its </w:t>
                        </w:r>
                        <w:hyperlink r:id="rId14" w:tgtFrame="_blank" w:history="1">
                          <w:r>
                            <w:rPr>
                              <w:rStyle w:val="Hyperlink"/>
                              <w:b/>
                              <w:bCs/>
                              <w:color w:val="3D857F"/>
                              <w:sz w:val="21"/>
                              <w:szCs w:val="21"/>
                            </w:rPr>
                            <w:t>working plan for the contractor vote</w:t>
                          </w:r>
                        </w:hyperlink>
                        <w:r>
                          <w:rPr>
                            <w:rFonts w:ascii="Tahoma" w:hAnsi="Tahoma" w:cs="Tahoma"/>
                            <w:color w:val="303030"/>
                            <w:sz w:val="21"/>
                            <w:szCs w:val="21"/>
                          </w:rPr>
                          <w:t xml:space="preserve"> that will be held early in 2022 on the future of community pharmacy </w:t>
                        </w:r>
                        <w:r>
                          <w:rPr>
                            <w:rFonts w:ascii="Tahoma" w:hAnsi="Tahoma" w:cs="Tahoma"/>
                            <w:color w:val="303030"/>
                            <w:sz w:val="21"/>
                            <w:szCs w:val="21"/>
                          </w:rPr>
                          <w:lastRenderedPageBreak/>
                          <w:t>representation and support. </w:t>
                        </w:r>
                        <w:r>
                          <w:rPr>
                            <w:rFonts w:ascii="Tahoma" w:hAnsi="Tahoma" w:cs="Tahoma"/>
                            <w:color w:val="303030"/>
                            <w:sz w:val="21"/>
                            <w:szCs w:val="21"/>
                          </w:rPr>
                          <w:br/>
                          <w:t> </w:t>
                        </w:r>
                        <w:r>
                          <w:rPr>
                            <w:rFonts w:ascii="Tahoma" w:hAnsi="Tahoma" w:cs="Tahoma"/>
                            <w:color w:val="303030"/>
                            <w:sz w:val="21"/>
                            <w:szCs w:val="21"/>
                          </w:rPr>
                          <w:br/>
                          <w:t>Whatever the proposal looks like, the final decision to take forward the changes will be for </w:t>
                        </w:r>
                        <w:r>
                          <w:rPr>
                            <w:rFonts w:ascii="Tahoma" w:hAnsi="Tahoma" w:cs="Tahoma"/>
                            <w:color w:val="303030"/>
                            <w:sz w:val="21"/>
                            <w:szCs w:val="21"/>
                            <w:u w:val="single"/>
                          </w:rPr>
                          <w:t>contractors only</w:t>
                        </w:r>
                        <w:r>
                          <w:rPr>
                            <w:rFonts w:ascii="Tahoma" w:hAnsi="Tahoma" w:cs="Tahoma"/>
                            <w:color w:val="303030"/>
                            <w:sz w:val="21"/>
                            <w:szCs w:val="21"/>
                          </w:rPr>
                          <w:t> to make, and a contractor vote will be held early in 2022.</w:t>
                        </w:r>
                        <w:r>
                          <w:rPr>
                            <w:rFonts w:ascii="Tahoma" w:hAnsi="Tahoma" w:cs="Tahoma"/>
                            <w:color w:val="303030"/>
                            <w:sz w:val="21"/>
                            <w:szCs w:val="21"/>
                          </w:rPr>
                          <w:br/>
                          <w:t> </w:t>
                        </w:r>
                        <w:r>
                          <w:rPr>
                            <w:rFonts w:ascii="Tahoma" w:hAnsi="Tahoma" w:cs="Tahoma"/>
                            <w:color w:val="303030"/>
                            <w:sz w:val="21"/>
                            <w:szCs w:val="21"/>
                          </w:rPr>
                          <w:br/>
                          <w:t xml:space="preserve">The paper sets out the RSG’s plan for that vote. In developing this, as in all its work, the RSG has sought to be as inclusive as </w:t>
                        </w:r>
                        <w:proofErr w:type="gramStart"/>
                        <w:r>
                          <w:rPr>
                            <w:rFonts w:ascii="Tahoma" w:hAnsi="Tahoma" w:cs="Tahoma"/>
                            <w:color w:val="303030"/>
                            <w:sz w:val="21"/>
                            <w:szCs w:val="21"/>
                          </w:rPr>
                          <w:t>possible</w:t>
                        </w:r>
                        <w:proofErr w:type="gramEnd"/>
                        <w:r>
                          <w:rPr>
                            <w:rFonts w:ascii="Tahoma" w:hAnsi="Tahoma" w:cs="Tahoma"/>
                            <w:color w:val="303030"/>
                            <w:sz w:val="21"/>
                            <w:szCs w:val="21"/>
                          </w:rPr>
                          <w:t xml:space="preserve"> and it has settled on a plan that will not reinforce divisions within the sector.  </w:t>
                        </w:r>
                        <w:r>
                          <w:rPr>
                            <w:rFonts w:ascii="Tahoma" w:hAnsi="Tahoma" w:cs="Tahoma"/>
                            <w:color w:val="303030"/>
                            <w:sz w:val="21"/>
                            <w:szCs w:val="21"/>
                          </w:rPr>
                          <w:br/>
                          <w:t> </w:t>
                        </w:r>
                        <w:r>
                          <w:rPr>
                            <w:rFonts w:ascii="Tahoma" w:hAnsi="Tahoma" w:cs="Tahoma"/>
                            <w:color w:val="303030"/>
                            <w:sz w:val="21"/>
                            <w:szCs w:val="21"/>
                          </w:rPr>
                          <w:br/>
                          <w:t>Contractors are encouraged to share their views with the RSG by attending the current round of </w:t>
                        </w:r>
                        <w:hyperlink r:id="rId15" w:history="1">
                          <w:r>
                            <w:rPr>
                              <w:rStyle w:val="Hyperlink"/>
                              <w:b/>
                              <w:bCs/>
                              <w:color w:val="3D857F"/>
                              <w:sz w:val="21"/>
                              <w:szCs w:val="21"/>
                            </w:rPr>
                            <w:t>focus groups</w:t>
                          </w:r>
                        </w:hyperlink>
                        <w:r>
                          <w:rPr>
                            <w:rFonts w:ascii="Tahoma" w:hAnsi="Tahoma" w:cs="Tahoma"/>
                            <w:color w:val="303030"/>
                            <w:sz w:val="21"/>
                            <w:szCs w:val="21"/>
                          </w:rPr>
                          <w:t>, or further questions or feedback can be emailed to </w:t>
                        </w:r>
                        <w:hyperlink r:id="rId16" w:history="1">
                          <w:r>
                            <w:rPr>
                              <w:rStyle w:val="Hyperlink"/>
                              <w:b/>
                              <w:bCs/>
                              <w:color w:val="3D857F"/>
                              <w:sz w:val="21"/>
                              <w:szCs w:val="21"/>
                            </w:rPr>
                            <w:t>review@pharmacy-review.org</w:t>
                          </w:r>
                        </w:hyperlink>
                      </w:p>
                    </w:tc>
                    <w:tc>
                      <w:tcPr>
                        <w:tcW w:w="150" w:type="dxa"/>
                        <w:vAlign w:val="center"/>
                        <w:hideMark/>
                      </w:tcPr>
                      <w:p w14:paraId="25A23E85" w14:textId="77777777" w:rsidR="002B0338" w:rsidRDefault="002B0338">
                        <w:pPr>
                          <w:rPr>
                            <w:rFonts w:ascii="Tahoma" w:hAnsi="Tahoma" w:cs="Tahoma"/>
                            <w:color w:val="303030"/>
                            <w:sz w:val="21"/>
                            <w:szCs w:val="21"/>
                          </w:rPr>
                        </w:pPr>
                      </w:p>
                    </w:tc>
                  </w:tr>
                  <w:tr w:rsidR="002B0338" w14:paraId="0758379F" w14:textId="77777777">
                    <w:trPr>
                      <w:trHeight w:val="150"/>
                      <w:tblCellSpacing w:w="15" w:type="dxa"/>
                      <w:jc w:val="center"/>
                    </w:trPr>
                    <w:tc>
                      <w:tcPr>
                        <w:tcW w:w="150" w:type="dxa"/>
                        <w:vAlign w:val="center"/>
                        <w:hideMark/>
                      </w:tcPr>
                      <w:p w14:paraId="64A9E1B1" w14:textId="77777777" w:rsidR="002B0338" w:rsidRDefault="002B0338">
                        <w:pPr>
                          <w:rPr>
                            <w:rFonts w:ascii="Times New Roman" w:eastAsia="Times New Roman" w:hAnsi="Times New Roman" w:cs="Times New Roman"/>
                            <w:sz w:val="20"/>
                            <w:szCs w:val="20"/>
                          </w:rPr>
                        </w:pPr>
                      </w:p>
                    </w:tc>
                    <w:tc>
                      <w:tcPr>
                        <w:tcW w:w="8700" w:type="dxa"/>
                        <w:vAlign w:val="center"/>
                        <w:hideMark/>
                      </w:tcPr>
                      <w:p w14:paraId="64442C93" w14:textId="77777777" w:rsidR="002B0338" w:rsidRDefault="002B0338">
                        <w:pPr>
                          <w:rPr>
                            <w:rFonts w:ascii="Times New Roman" w:eastAsia="Times New Roman" w:hAnsi="Times New Roman" w:cs="Times New Roman"/>
                            <w:sz w:val="20"/>
                            <w:szCs w:val="20"/>
                          </w:rPr>
                        </w:pPr>
                      </w:p>
                    </w:tc>
                    <w:tc>
                      <w:tcPr>
                        <w:tcW w:w="150" w:type="dxa"/>
                        <w:vAlign w:val="center"/>
                        <w:hideMark/>
                      </w:tcPr>
                      <w:p w14:paraId="266EE51C" w14:textId="77777777" w:rsidR="002B0338" w:rsidRDefault="002B0338">
                        <w:pPr>
                          <w:rPr>
                            <w:rFonts w:ascii="Times New Roman" w:eastAsia="Times New Roman" w:hAnsi="Times New Roman" w:cs="Times New Roman"/>
                            <w:sz w:val="20"/>
                            <w:szCs w:val="20"/>
                          </w:rPr>
                        </w:pPr>
                      </w:p>
                    </w:tc>
                  </w:tr>
                </w:tbl>
                <w:p w14:paraId="5E5A7712" w14:textId="77777777" w:rsidR="002B0338" w:rsidRDefault="002B0338">
                  <w:pPr>
                    <w:jc w:val="center"/>
                    <w:rPr>
                      <w:rFonts w:ascii="Times New Roman" w:eastAsia="Times New Roman" w:hAnsi="Times New Roman" w:cs="Times New Roman"/>
                      <w:sz w:val="20"/>
                      <w:szCs w:val="20"/>
                    </w:rPr>
                  </w:pPr>
                </w:p>
              </w:tc>
            </w:tr>
            <w:tr w:rsidR="002B0338" w14:paraId="4449CEC2" w14:textId="77777777" w:rsidTr="002B0338">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2B0338" w14:paraId="7A15219F"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B0338" w14:paraId="38EE09DE" w14:textId="77777777">
                          <w:trPr>
                            <w:tblCellSpacing w:w="0" w:type="dxa"/>
                            <w:jc w:val="center"/>
                          </w:trPr>
                          <w:tc>
                            <w:tcPr>
                              <w:tcW w:w="3000" w:type="dxa"/>
                              <w:tcMar>
                                <w:top w:w="30" w:type="dxa"/>
                                <w:left w:w="75" w:type="dxa"/>
                                <w:bottom w:w="30" w:type="dxa"/>
                                <w:right w:w="75" w:type="dxa"/>
                              </w:tcMar>
                              <w:hideMark/>
                            </w:tcPr>
                            <w:p w14:paraId="6A93360F" w14:textId="77777777" w:rsidR="002B0338" w:rsidRDefault="002B0338">
                              <w:pPr>
                                <w:pStyle w:val="Heading4"/>
                                <w:jc w:val="center"/>
                                <w:rPr>
                                  <w:rFonts w:eastAsia="Times New Roman"/>
                                </w:rPr>
                              </w:pPr>
                              <w:r>
                                <w:rPr>
                                  <w:rFonts w:eastAsia="Times New Roman"/>
                                </w:rPr>
                                <w:lastRenderedPageBreak/>
                                <w:t>Pharmacy Representation Review Steering Group (RSG)</w:t>
                              </w:r>
                            </w:p>
                            <w:p w14:paraId="2C8DC095" w14:textId="77777777" w:rsidR="002B0338" w:rsidRDefault="002B0338">
                              <w:pPr>
                                <w:pStyle w:val="NormalWeb"/>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p w14:paraId="0F187931" w14:textId="3503F511" w:rsidR="002B0338" w:rsidRPr="002B0338" w:rsidRDefault="002B0338" w:rsidP="002B0338">
                              <w:pPr>
                                <w:jc w:val="center"/>
                                <w:rPr>
                                  <w:rFonts w:ascii="Tahoma" w:eastAsia="Times New Roman" w:hAnsi="Tahoma" w:cs="Tahoma"/>
                                  <w:color w:val="FFFFFF"/>
                                  <w:sz w:val="18"/>
                                  <w:szCs w:val="18"/>
                                </w:rPr>
                              </w:pPr>
                              <w:r>
                                <w:rPr>
                                  <w:rFonts w:ascii="Tahoma" w:eastAsia="Times New Roman" w:hAnsi="Tahoma" w:cs="Tahoma"/>
                                  <w:color w:val="FFFFFF"/>
                                  <w:sz w:val="18"/>
                                  <w:szCs w:val="18"/>
                                </w:rPr>
                                <w:pict w14:anchorId="7BF42C5F">
                                  <v:rect id="_x0000_i1031" style="width:468pt;height:1.5pt" o:hralign="center" o:hrstd="t" o:hr="t" fillcolor="#a0a0a0" stroked="f"/>
                                </w:pict>
                              </w:r>
                            </w:p>
                          </w:tc>
                        </w:tr>
                      </w:tbl>
                      <w:p w14:paraId="1EFD64EA" w14:textId="77777777" w:rsidR="002B0338" w:rsidRDefault="002B0338">
                        <w:pPr>
                          <w:jc w:val="center"/>
                          <w:rPr>
                            <w:rFonts w:ascii="Times New Roman" w:eastAsia="Times New Roman" w:hAnsi="Times New Roman" w:cs="Times New Roman"/>
                            <w:sz w:val="20"/>
                            <w:szCs w:val="20"/>
                          </w:rPr>
                        </w:pPr>
                      </w:p>
                    </w:tc>
                  </w:tr>
                </w:tbl>
                <w:p w14:paraId="17B7CEF2" w14:textId="77777777" w:rsidR="002B0338" w:rsidRDefault="002B0338">
                  <w:pPr>
                    <w:jc w:val="center"/>
                    <w:rPr>
                      <w:rFonts w:ascii="Times New Roman" w:eastAsia="Times New Roman" w:hAnsi="Times New Roman" w:cs="Times New Roman"/>
                      <w:sz w:val="20"/>
                      <w:szCs w:val="20"/>
                    </w:rPr>
                  </w:pPr>
                </w:p>
              </w:tc>
              <w:tc>
                <w:tcPr>
                  <w:tcW w:w="0" w:type="auto"/>
                  <w:vAlign w:val="center"/>
                  <w:hideMark/>
                </w:tcPr>
                <w:p w14:paraId="018AC8E6" w14:textId="77777777" w:rsidR="002B0338" w:rsidRDefault="002B0338">
                  <w:pPr>
                    <w:rPr>
                      <w:rFonts w:ascii="Times New Roman" w:eastAsia="Times New Roman" w:hAnsi="Times New Roman" w:cs="Times New Roman"/>
                      <w:sz w:val="20"/>
                      <w:szCs w:val="20"/>
                    </w:rPr>
                  </w:pPr>
                </w:p>
              </w:tc>
            </w:tr>
          </w:tbl>
          <w:p w14:paraId="5E8DD2F3" w14:textId="77777777" w:rsidR="002B0338" w:rsidRDefault="002B0338">
            <w:pPr>
              <w:jc w:val="center"/>
              <w:rPr>
                <w:rFonts w:ascii="Times New Roman" w:eastAsia="Times New Roman" w:hAnsi="Times New Roman" w:cs="Times New Roman"/>
                <w:sz w:val="20"/>
                <w:szCs w:val="20"/>
              </w:rPr>
            </w:pPr>
          </w:p>
        </w:tc>
      </w:tr>
    </w:tbl>
    <w:p w14:paraId="6DCE8B69" w14:textId="178B17DD" w:rsidR="002B0338" w:rsidRDefault="002B0338" w:rsidP="002B0338">
      <w:pPr>
        <w:rPr>
          <w:rFonts w:eastAsia="Times New Roman"/>
        </w:rPr>
      </w:pPr>
      <w:r>
        <w:rPr>
          <w:rFonts w:eastAsia="Times New Roman"/>
          <w:noProof/>
        </w:rPr>
        <w:lastRenderedPageBreak/>
        <w:drawing>
          <wp:inline distT="0" distB="0" distL="0" distR="0" wp14:anchorId="61572A2D" wp14:editId="552F6D9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4A8F8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D5A76"/>
    <w:multiLevelType w:val="multilevel"/>
    <w:tmpl w:val="3C144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38"/>
    <w:rsid w:val="002B033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8A84"/>
  <w15:chartTrackingRefBased/>
  <w15:docId w15:val="{F34F4112-BCCC-443A-B198-A4B45186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38"/>
    <w:rPr>
      <w:rFonts w:ascii="Calibri" w:hAnsi="Calibri" w:cs="Calibri"/>
      <w:lang w:eastAsia="en-GB"/>
    </w:rPr>
  </w:style>
  <w:style w:type="paragraph" w:styleId="Heading1">
    <w:name w:val="heading 1"/>
    <w:basedOn w:val="Normal"/>
    <w:link w:val="Heading1Char"/>
    <w:uiPriority w:val="9"/>
    <w:qFormat/>
    <w:rsid w:val="002B0338"/>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2B0338"/>
    <w:pPr>
      <w:spacing w:after="75" w:line="264" w:lineRule="auto"/>
      <w:outlineLvl w:val="1"/>
    </w:pPr>
    <w:rPr>
      <w:rFonts w:ascii="Tahoma" w:hAnsi="Tahoma" w:cs="Tahoma"/>
      <w:b/>
      <w:bCs/>
      <w:color w:val="037800"/>
      <w:sz w:val="30"/>
      <w:szCs w:val="30"/>
    </w:rPr>
  </w:style>
  <w:style w:type="paragraph" w:styleId="Heading3">
    <w:name w:val="heading 3"/>
    <w:basedOn w:val="Normal"/>
    <w:link w:val="Heading3Char"/>
    <w:uiPriority w:val="9"/>
    <w:semiHidden/>
    <w:unhideWhenUsed/>
    <w:qFormat/>
    <w:rsid w:val="002B0338"/>
    <w:pPr>
      <w:spacing w:after="75" w:line="264" w:lineRule="auto"/>
      <w:outlineLvl w:val="2"/>
    </w:pPr>
    <w:rPr>
      <w:rFonts w:ascii="Tahoma" w:hAnsi="Tahoma" w:cs="Tahoma"/>
      <w:b/>
      <w:bCs/>
      <w:color w:val="037800"/>
      <w:sz w:val="27"/>
      <w:szCs w:val="27"/>
    </w:rPr>
  </w:style>
  <w:style w:type="paragraph" w:styleId="Heading4">
    <w:name w:val="heading 4"/>
    <w:basedOn w:val="Normal"/>
    <w:link w:val="Heading4Char"/>
    <w:uiPriority w:val="9"/>
    <w:semiHidden/>
    <w:unhideWhenUsed/>
    <w:qFormat/>
    <w:rsid w:val="002B0338"/>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338"/>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2B0338"/>
    <w:rPr>
      <w:rFonts w:ascii="Tahoma" w:hAnsi="Tahoma" w:cs="Tahoma"/>
      <w:b/>
      <w:bCs/>
      <w:color w:val="037800"/>
      <w:sz w:val="30"/>
      <w:szCs w:val="30"/>
      <w:lang w:eastAsia="en-GB"/>
    </w:rPr>
  </w:style>
  <w:style w:type="character" w:customStyle="1" w:styleId="Heading3Char">
    <w:name w:val="Heading 3 Char"/>
    <w:basedOn w:val="DefaultParagraphFont"/>
    <w:link w:val="Heading3"/>
    <w:uiPriority w:val="9"/>
    <w:semiHidden/>
    <w:rsid w:val="002B0338"/>
    <w:rPr>
      <w:rFonts w:ascii="Tahoma" w:hAnsi="Tahoma" w:cs="Tahoma"/>
      <w:b/>
      <w:bCs/>
      <w:color w:val="037800"/>
      <w:sz w:val="27"/>
      <w:szCs w:val="27"/>
      <w:lang w:eastAsia="en-GB"/>
    </w:rPr>
  </w:style>
  <w:style w:type="character" w:customStyle="1" w:styleId="Heading4Char">
    <w:name w:val="Heading 4 Char"/>
    <w:basedOn w:val="DefaultParagraphFont"/>
    <w:link w:val="Heading4"/>
    <w:uiPriority w:val="9"/>
    <w:semiHidden/>
    <w:rsid w:val="002B0338"/>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2B0338"/>
    <w:rPr>
      <w:color w:val="0000FF"/>
      <w:u w:val="single"/>
    </w:rPr>
  </w:style>
  <w:style w:type="paragraph" w:styleId="NormalWeb">
    <w:name w:val="Normal (Web)"/>
    <w:basedOn w:val="Normal"/>
    <w:uiPriority w:val="99"/>
    <w:semiHidden/>
    <w:unhideWhenUsed/>
    <w:rsid w:val="002B0338"/>
    <w:pPr>
      <w:spacing w:before="100" w:beforeAutospacing="1" w:after="100" w:afterAutospacing="1"/>
    </w:pPr>
  </w:style>
  <w:style w:type="character" w:styleId="Strong">
    <w:name w:val="Strong"/>
    <w:basedOn w:val="DefaultParagraphFont"/>
    <w:uiPriority w:val="22"/>
    <w:qFormat/>
    <w:rsid w:val="002B0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9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245fd0120&amp;e=d19e9fd41c" TargetMode="External"/><Relationship Id="rId13" Type="http://schemas.openxmlformats.org/officeDocument/2006/relationships/hyperlink" Target="mailto:review@pharmacy-review.org" TargetMode="External"/><Relationship Id="rId18" Type="http://schemas.openxmlformats.org/officeDocument/2006/relationships/image" Target="https://psnc.us7.list-manage.com/track/open.php?u=86d41ab7fa4c7c2c5d7210782&amp;id=747b376d40&amp;e=d19e9fd41c" TargetMode="External"/><Relationship Id="rId3" Type="http://schemas.openxmlformats.org/officeDocument/2006/relationships/settings" Target="settings.xml"/><Relationship Id="rId7" Type="http://schemas.openxmlformats.org/officeDocument/2006/relationships/image" Target="https://mcusercontent.com/86d41ab7fa4c7c2c5d7210782/images/3addd327-85ca-e5d9-b0bb-5f28025fe6a0.jpg" TargetMode="External"/><Relationship Id="rId12" Type="http://schemas.openxmlformats.org/officeDocument/2006/relationships/hyperlink" Target="https://psnc.us7.list-manage.com/track/click?u=86d41ab7fa4c7c2c5d7210782&amp;id=97582804f7&amp;e=d19e9fd41c" TargetMode="External"/><Relationship Id="rId1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mailto:review@pharmacy-review.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snc.us7.list-manage.com/track/click?u=86d41ab7fa4c7c2c5d7210782&amp;id=8a4d3f90fb&amp;e=d19e9fd41c" TargetMode="External"/><Relationship Id="rId5" Type="http://schemas.openxmlformats.org/officeDocument/2006/relationships/hyperlink" Target="https://psnc.us7.list-manage.com/track/click?u=86d41ab7fa4c7c2c5d7210782&amp;id=e49e9a4428&amp;e=d19e9fd41c" TargetMode="External"/><Relationship Id="rId15" Type="http://schemas.openxmlformats.org/officeDocument/2006/relationships/hyperlink" Target="https://psnc.us7.list-manage.com/track/click?u=86d41ab7fa4c7c2c5d7210782&amp;id=001455d273&amp;e=d19e9fd41c" TargetMode="External"/><Relationship Id="rId10" Type="http://schemas.openxmlformats.org/officeDocument/2006/relationships/hyperlink" Target="https://psnc.us7.list-manage.com/track/click?u=86d41ab7fa4c7c2c5d7210782&amp;id=53f75c20ce&amp;e=d19e9fd41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2d8de1ff5b&amp;e=d19e9fd41c" TargetMode="External"/><Relationship Id="rId14" Type="http://schemas.openxmlformats.org/officeDocument/2006/relationships/hyperlink" Target="https://psnc.us7.list-manage.com/track/click?u=86d41ab7fa4c7c2c5d7210782&amp;id=21e8e163f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2021-10-19T15:33:00Z</dcterms:created>
  <dcterms:modified xsi:type="dcterms:W3CDTF">2021-10-19T15:37:00Z</dcterms:modified>
</cp:coreProperties>
</file>