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E21EA" w14:paraId="02B6081A" w14:textId="77777777" w:rsidTr="009E21E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E21EA" w14:paraId="4B70217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E21EA" w14:paraId="54F57737" w14:textId="77777777">
                    <w:trPr>
                      <w:tblCellSpacing w:w="0" w:type="dxa"/>
                      <w:jc w:val="center"/>
                    </w:trPr>
                    <w:tc>
                      <w:tcPr>
                        <w:tcW w:w="3000" w:type="dxa"/>
                        <w:hideMark/>
                      </w:tcPr>
                      <w:p w14:paraId="4A23A81F" w14:textId="47F498C6" w:rsidR="009E21EA" w:rsidRDefault="009E21EA">
                        <w:pPr>
                          <w:spacing w:line="264" w:lineRule="auto"/>
                          <w:jc w:val="center"/>
                          <w:rPr>
                            <w:rFonts w:ascii="Tahoma" w:eastAsia="Times New Roman" w:hAnsi="Tahoma" w:cs="Tahoma"/>
                            <w:color w:val="FFFFFF"/>
                            <w:sz w:val="17"/>
                            <w:szCs w:val="17"/>
                          </w:rPr>
                        </w:pPr>
                      </w:p>
                    </w:tc>
                  </w:tr>
                </w:tbl>
                <w:p w14:paraId="67EB5D88" w14:textId="77777777" w:rsidR="009E21EA" w:rsidRDefault="009E21EA">
                  <w:pPr>
                    <w:jc w:val="center"/>
                    <w:rPr>
                      <w:rFonts w:ascii="Times New Roman" w:eastAsia="Times New Roman" w:hAnsi="Times New Roman" w:cs="Times New Roman"/>
                      <w:sz w:val="20"/>
                      <w:szCs w:val="20"/>
                    </w:rPr>
                  </w:pPr>
                </w:p>
              </w:tc>
            </w:tr>
            <w:tr w:rsidR="009E21EA" w14:paraId="44AA2F9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E21EA" w14:paraId="4CDDB7E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930B6B3" w14:textId="2A3389E9" w:rsidR="009E21EA" w:rsidRDefault="009E21EA">
                        <w:pPr>
                          <w:jc w:val="center"/>
                          <w:rPr>
                            <w:rFonts w:eastAsia="Times New Roman"/>
                          </w:rPr>
                        </w:pPr>
                        <w:r>
                          <w:rPr>
                            <w:rFonts w:eastAsia="Times New Roman"/>
                            <w:noProof/>
                          </w:rPr>
                          <w:drawing>
                            <wp:inline distT="0" distB="0" distL="0" distR="0" wp14:anchorId="1C541881" wp14:editId="3F75EDE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E21EA" w14:paraId="778E5EA2" w14:textId="77777777">
                    <w:trPr>
                      <w:tblCellSpacing w:w="0" w:type="dxa"/>
                    </w:trPr>
                    <w:tc>
                      <w:tcPr>
                        <w:tcW w:w="0" w:type="auto"/>
                        <w:vMerge/>
                        <w:tcBorders>
                          <w:top w:val="nil"/>
                          <w:left w:val="nil"/>
                          <w:bottom w:val="single" w:sz="2" w:space="0" w:color="FFFFFF"/>
                          <w:right w:val="nil"/>
                        </w:tcBorders>
                        <w:vAlign w:val="center"/>
                        <w:hideMark/>
                      </w:tcPr>
                      <w:p w14:paraId="70E53909" w14:textId="77777777" w:rsidR="009E21EA" w:rsidRDefault="009E21EA">
                        <w:pPr>
                          <w:rPr>
                            <w:rFonts w:eastAsia="Times New Roman"/>
                          </w:rPr>
                        </w:pPr>
                      </w:p>
                    </w:tc>
                    <w:tc>
                      <w:tcPr>
                        <w:tcW w:w="3450" w:type="dxa"/>
                        <w:tcBorders>
                          <w:top w:val="nil"/>
                          <w:left w:val="nil"/>
                          <w:bottom w:val="nil"/>
                          <w:right w:val="nil"/>
                        </w:tcBorders>
                        <w:vAlign w:val="center"/>
                        <w:hideMark/>
                      </w:tcPr>
                      <w:p w14:paraId="24CA14D8" w14:textId="77777777" w:rsidR="009E21EA" w:rsidRDefault="009E21EA">
                        <w:pPr>
                          <w:pStyle w:val="Heading1"/>
                          <w:rPr>
                            <w:rFonts w:eastAsia="Times New Roman"/>
                          </w:rPr>
                        </w:pPr>
                        <w:r>
                          <w:rPr>
                            <w:rFonts w:eastAsia="Times New Roman"/>
                          </w:rPr>
                          <w:t>PSNC Newsletter</w:t>
                        </w:r>
                      </w:p>
                    </w:tc>
                  </w:tr>
                  <w:tr w:rsidR="009E21EA" w14:paraId="0C2A1098" w14:textId="77777777">
                    <w:trPr>
                      <w:tblCellSpacing w:w="0" w:type="dxa"/>
                    </w:trPr>
                    <w:tc>
                      <w:tcPr>
                        <w:tcW w:w="0" w:type="auto"/>
                        <w:vMerge/>
                        <w:tcBorders>
                          <w:top w:val="nil"/>
                          <w:left w:val="nil"/>
                          <w:bottom w:val="single" w:sz="2" w:space="0" w:color="FFFFFF"/>
                          <w:right w:val="nil"/>
                        </w:tcBorders>
                        <w:vAlign w:val="center"/>
                        <w:hideMark/>
                      </w:tcPr>
                      <w:p w14:paraId="2BD16796" w14:textId="77777777" w:rsidR="009E21EA" w:rsidRDefault="009E21E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B7FAD5A" w14:textId="77777777" w:rsidR="009E21EA" w:rsidRDefault="009E21EA">
                        <w:pPr>
                          <w:pStyle w:val="Heading2"/>
                          <w:rPr>
                            <w:rFonts w:eastAsia="Times New Roman"/>
                            <w:color w:val="93378A"/>
                          </w:rPr>
                        </w:pPr>
                        <w:r>
                          <w:rPr>
                            <w:rFonts w:eastAsia="Times New Roman"/>
                            <w:color w:val="93378A"/>
                          </w:rPr>
                          <w:t>Friday 8th October 2021</w:t>
                        </w:r>
                      </w:p>
                    </w:tc>
                  </w:tr>
                </w:tbl>
                <w:p w14:paraId="44CB41DA" w14:textId="77777777" w:rsidR="009E21EA" w:rsidRDefault="009E21EA">
                  <w:pPr>
                    <w:rPr>
                      <w:rFonts w:ascii="Times New Roman" w:eastAsia="Times New Roman" w:hAnsi="Times New Roman" w:cs="Times New Roman"/>
                      <w:sz w:val="20"/>
                      <w:szCs w:val="20"/>
                    </w:rPr>
                  </w:pPr>
                </w:p>
              </w:tc>
            </w:tr>
            <w:tr w:rsidR="009E21EA" w14:paraId="6409C926" w14:textId="77777777">
              <w:tblPrEx>
                <w:shd w:val="clear" w:color="auto" w:fill="auto"/>
              </w:tblPrEx>
              <w:trPr>
                <w:tblCellSpacing w:w="0" w:type="dxa"/>
                <w:jc w:val="center"/>
              </w:trPr>
              <w:tc>
                <w:tcPr>
                  <w:tcW w:w="9000" w:type="dxa"/>
                  <w:hideMark/>
                </w:tcPr>
                <w:p w14:paraId="4FF0CD88" w14:textId="02F540B7" w:rsidR="009E21EA" w:rsidRDefault="009E21EA">
                  <w:pPr>
                    <w:rPr>
                      <w:rFonts w:eastAsia="Times New Roman"/>
                    </w:rPr>
                  </w:pPr>
                  <w:r>
                    <w:rPr>
                      <w:rFonts w:eastAsia="Times New Roman"/>
                      <w:noProof/>
                    </w:rPr>
                    <w:drawing>
                      <wp:inline distT="0" distB="0" distL="0" distR="0" wp14:anchorId="613CCCA0" wp14:editId="10FE32F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E21EA" w14:paraId="0B75D0C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9E21EA" w14:paraId="7C708727" w14:textId="77777777">
                    <w:trPr>
                      <w:trHeight w:val="150"/>
                      <w:tblCellSpacing w:w="15" w:type="dxa"/>
                      <w:jc w:val="center"/>
                    </w:trPr>
                    <w:tc>
                      <w:tcPr>
                        <w:tcW w:w="150" w:type="dxa"/>
                        <w:vAlign w:val="center"/>
                        <w:hideMark/>
                      </w:tcPr>
                      <w:p w14:paraId="6676A27A" w14:textId="77777777" w:rsidR="009E21EA" w:rsidRDefault="009E21EA">
                        <w:pPr>
                          <w:rPr>
                            <w:rFonts w:eastAsia="Times New Roman"/>
                          </w:rPr>
                        </w:pPr>
                      </w:p>
                    </w:tc>
                    <w:tc>
                      <w:tcPr>
                        <w:tcW w:w="8700" w:type="dxa"/>
                        <w:vAlign w:val="center"/>
                        <w:hideMark/>
                      </w:tcPr>
                      <w:p w14:paraId="7043FCD5" w14:textId="77777777" w:rsidR="009E21EA" w:rsidRDefault="009E21EA">
                        <w:pPr>
                          <w:rPr>
                            <w:rFonts w:ascii="Times New Roman" w:eastAsia="Times New Roman" w:hAnsi="Times New Roman" w:cs="Times New Roman"/>
                            <w:sz w:val="20"/>
                            <w:szCs w:val="20"/>
                          </w:rPr>
                        </w:pPr>
                      </w:p>
                    </w:tc>
                    <w:tc>
                      <w:tcPr>
                        <w:tcW w:w="150" w:type="dxa"/>
                        <w:vAlign w:val="center"/>
                        <w:hideMark/>
                      </w:tcPr>
                      <w:p w14:paraId="7B476166" w14:textId="77777777" w:rsidR="009E21EA" w:rsidRDefault="009E21EA">
                        <w:pPr>
                          <w:rPr>
                            <w:rFonts w:ascii="Times New Roman" w:eastAsia="Times New Roman" w:hAnsi="Times New Roman" w:cs="Times New Roman"/>
                            <w:sz w:val="20"/>
                            <w:szCs w:val="20"/>
                          </w:rPr>
                        </w:pPr>
                      </w:p>
                    </w:tc>
                  </w:tr>
                  <w:tr w:rsidR="009E21EA" w14:paraId="2B34DBE8" w14:textId="77777777">
                    <w:trPr>
                      <w:tblCellSpacing w:w="15" w:type="dxa"/>
                      <w:jc w:val="center"/>
                    </w:trPr>
                    <w:tc>
                      <w:tcPr>
                        <w:tcW w:w="150" w:type="dxa"/>
                        <w:vAlign w:val="center"/>
                        <w:hideMark/>
                      </w:tcPr>
                      <w:p w14:paraId="03FDE22D" w14:textId="77777777" w:rsidR="009E21EA" w:rsidRDefault="009E21EA">
                        <w:pPr>
                          <w:rPr>
                            <w:rFonts w:ascii="Times New Roman" w:eastAsia="Times New Roman" w:hAnsi="Times New Roman" w:cs="Times New Roman"/>
                            <w:sz w:val="20"/>
                            <w:szCs w:val="20"/>
                          </w:rPr>
                        </w:pPr>
                      </w:p>
                    </w:tc>
                    <w:tc>
                      <w:tcPr>
                        <w:tcW w:w="8700" w:type="dxa"/>
                        <w:vAlign w:val="center"/>
                        <w:hideMark/>
                      </w:tcPr>
                      <w:p w14:paraId="3DDA8754" w14:textId="77777777" w:rsidR="009E21EA" w:rsidRDefault="009E21EA">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03867716" w14:textId="77777777" w:rsidR="009E21EA" w:rsidRDefault="009E21E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4830611">
                            <v:rect id="_x0000_i1032" style="width:468pt;height:1.5pt" o:hralign="center" o:hrstd="t" o:hr="t" fillcolor="#a0a0a0" stroked="f"/>
                          </w:pict>
                        </w:r>
                      </w:p>
                      <w:p w14:paraId="58934B1A" w14:textId="77777777" w:rsidR="009E21EA" w:rsidRDefault="009E21EA">
                        <w:pPr>
                          <w:pStyle w:val="Heading2"/>
                          <w:rPr>
                            <w:rFonts w:eastAsia="Times New Roman"/>
                          </w:rPr>
                        </w:pPr>
                        <w:r>
                          <w:rPr>
                            <w:rFonts w:eastAsia="Times New Roman"/>
                          </w:rPr>
                          <w:t>In this update: Advance payments webinar now on-demand; the year at PSNC; CPCS Buyers Guide published; submission of Temporary Safeguarding Payment claims; MHRA Drug Safety Update.</w:t>
                        </w:r>
                      </w:p>
                      <w:p w14:paraId="25B5028F" w14:textId="77777777" w:rsidR="009E21EA" w:rsidRDefault="009E21E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18CA240">
                            <v:rect id="_x0000_i1033" style="width:468pt;height:1.5pt" o:hralign="center" o:hrstd="t" o:hr="t" fillcolor="#a0a0a0" stroked="f"/>
                          </w:pict>
                        </w:r>
                      </w:p>
                      <w:p w14:paraId="2C2FE0D2" w14:textId="77777777" w:rsidR="009E21EA" w:rsidRDefault="009E21EA">
                        <w:pPr>
                          <w:pStyle w:val="Heading2"/>
                          <w:rPr>
                            <w:rFonts w:eastAsia="Times New Roman"/>
                          </w:rPr>
                        </w:pPr>
                        <w:r>
                          <w:rPr>
                            <w:rFonts w:eastAsia="Times New Roman"/>
                          </w:rPr>
                          <w:t>Webinar on changes to advance payments now on-demand</w:t>
                        </w:r>
                      </w:p>
                      <w:p w14:paraId="43D0ACF5" w14:textId="0D95C6B0" w:rsidR="009E21EA" w:rsidRDefault="009E21EA" w:rsidP="009E21E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webinar about the upcoming changes to advance payments and FP34C submission requirements is now available on-demand. Over 90% of attendees said they would recommend the webinar to others, with almost two-thirds (63%) saying that they found it very useful.</w:t>
                        </w:r>
                        <w:r>
                          <w:rPr>
                            <w:rFonts w:ascii="Tahoma" w:eastAsia="Times New Roman" w:hAnsi="Tahoma" w:cs="Tahoma"/>
                            <w:color w:val="303030"/>
                            <w:sz w:val="21"/>
                            <w:szCs w:val="21"/>
                          </w:rPr>
                          <w:br/>
                        </w:r>
                        <w:r>
                          <w:rPr>
                            <w:rFonts w:ascii="Tahoma" w:eastAsia="Times New Roman" w:hAnsi="Tahoma" w:cs="Tahoma"/>
                            <w:color w:val="303030"/>
                            <w:sz w:val="21"/>
                            <w:szCs w:val="21"/>
                          </w:rPr>
                          <w:br/>
                          <w:t>During the webinar, viewers were guided through the planned changes to the advance payment timetable, new FP34C submission requirements, and end-of-month prescription sorting tips. Experts from PSNC’s Funding Team and the Lead Digital Delivery Manager at the NHS Business Services Authority (NHSBSA) also answered a number of viewers’ questions.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Watch the webinar</w:t>
                          </w:r>
                        </w:hyperlink>
                        <w:r>
                          <w:rPr>
                            <w:rFonts w:ascii="Tahoma" w:eastAsia="Times New Roman" w:hAnsi="Tahoma" w:cs="Tahoma"/>
                            <w:color w:val="303030"/>
                            <w:sz w:val="21"/>
                            <w:szCs w:val="21"/>
                          </w:rPr>
                          <w:t xml:space="preserve"> </w:t>
                        </w:r>
                      </w:p>
                      <w:p w14:paraId="37881696" w14:textId="77777777" w:rsidR="009E21EA" w:rsidRDefault="009E21E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B3956A0">
                            <v:rect id="_x0000_i1034" style="width:468pt;height:1.5pt" o:hralign="center" o:hrstd="t" o:hr="t" fillcolor="#a0a0a0" stroked="f"/>
                          </w:pict>
                        </w:r>
                      </w:p>
                      <w:p w14:paraId="7AD73B53" w14:textId="77777777" w:rsidR="009E21EA" w:rsidRDefault="009E21EA">
                        <w:pPr>
                          <w:pStyle w:val="Heading2"/>
                          <w:rPr>
                            <w:rFonts w:eastAsia="Times New Roman"/>
                          </w:rPr>
                        </w:pPr>
                        <w:r>
                          <w:rPr>
                            <w:rFonts w:eastAsia="Times New Roman"/>
                          </w:rPr>
                          <w:t>2020/21: The year at PSNC</w:t>
                        </w:r>
                      </w:p>
                      <w:p w14:paraId="2E0BE041" w14:textId="45F410D9" w:rsidR="009E21EA" w:rsidRDefault="009E21EA" w:rsidP="009E21E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remarkable year for community pharmacies and everyone in healthcare, 2020/21 saw pharmacies making significant operational changes to operate in a COVID-safe way, </w:t>
                        </w:r>
                        <w:proofErr w:type="gramStart"/>
                        <w:r>
                          <w:rPr>
                            <w:rFonts w:ascii="Tahoma" w:eastAsia="Times New Roman" w:hAnsi="Tahoma" w:cs="Tahoma"/>
                            <w:color w:val="303030"/>
                            <w:sz w:val="21"/>
                            <w:szCs w:val="21"/>
                          </w:rPr>
                          <w:t>a number of</w:t>
                        </w:r>
                        <w:proofErr w:type="gramEnd"/>
                        <w:r>
                          <w:rPr>
                            <w:rFonts w:ascii="Tahoma" w:eastAsia="Times New Roman" w:hAnsi="Tahoma" w:cs="Tahoma"/>
                            <w:color w:val="303030"/>
                            <w:sz w:val="21"/>
                            <w:szCs w:val="21"/>
                          </w:rPr>
                          <w:t xml:space="preserve"> pandemic services launched at short notice, a significant expansion of the Flu Vaccination Service and growing public reliance on the sector. To support the sector PSNC took measures to address pharmacy teams' increasing workload and help them to manage the impact of the </w:t>
                        </w:r>
                        <w:proofErr w:type="gramStart"/>
                        <w:r>
                          <w:rPr>
                            <w:rFonts w:ascii="Tahoma" w:eastAsia="Times New Roman" w:hAnsi="Tahoma" w:cs="Tahoma"/>
                            <w:color w:val="303030"/>
                            <w:sz w:val="21"/>
                            <w:szCs w:val="21"/>
                          </w:rPr>
                          <w:t>pandemic, and</w:t>
                        </w:r>
                        <w:proofErr w:type="gramEnd"/>
                        <w:r>
                          <w:rPr>
                            <w:rFonts w:ascii="Tahoma" w:eastAsia="Times New Roman" w:hAnsi="Tahoma" w:cs="Tahoma"/>
                            <w:color w:val="303030"/>
                            <w:sz w:val="21"/>
                            <w:szCs w:val="21"/>
                          </w:rPr>
                          <w:t xml:space="preserve"> called on the Government to cover contractors' COVID costs. Learn more about PSNC's work on behalf of community pharmacy contractors in our annual report.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tooltip="https://psncannualreport.com/" w:history="1">
                          <w:r>
                            <w:rPr>
                              <w:rStyle w:val="Hyperlink"/>
                              <w:rFonts w:ascii="Tahoma" w:eastAsia="Times New Roman" w:hAnsi="Tahoma" w:cs="Tahoma"/>
                              <w:b/>
                              <w:bCs/>
                              <w:color w:val="4E3487"/>
                              <w:sz w:val="21"/>
                              <w:szCs w:val="21"/>
                            </w:rPr>
                            <w:t>See PSNC's annual report online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tooltip="https://psncannualreport.com/watch-the-20-21-report/" w:history="1">
                          <w:r>
                            <w:rPr>
                              <w:rStyle w:val="Hyperlink"/>
                              <w:rFonts w:ascii="Tahoma" w:eastAsia="Times New Roman" w:hAnsi="Tahoma" w:cs="Tahoma"/>
                              <w:b/>
                              <w:bCs/>
                              <w:color w:val="4E3487"/>
                              <w:sz w:val="21"/>
                              <w:szCs w:val="21"/>
                            </w:rPr>
                            <w:t>Watch the annual report through video</w:t>
                          </w:r>
                        </w:hyperlink>
                        <w:r>
                          <w:rPr>
                            <w:rFonts w:ascii="Tahoma" w:eastAsia="Times New Roman" w:hAnsi="Tahoma" w:cs="Tahoma"/>
                            <w:color w:val="303030"/>
                            <w:sz w:val="21"/>
                            <w:szCs w:val="21"/>
                          </w:rPr>
                          <w:t xml:space="preserve"> </w:t>
                        </w:r>
                      </w:p>
                      <w:p w14:paraId="18A6F642" w14:textId="77777777" w:rsidR="009E21EA" w:rsidRDefault="009E21EA" w:rsidP="009E21E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1BD2F1D">
                            <v:rect id="_x0000_i1035" style="width:468pt;height:1.5pt" o:hrstd="t" o:hr="t" fillcolor="#a0a0a0" stroked="f"/>
                          </w:pict>
                        </w:r>
                      </w:p>
                      <w:p w14:paraId="5841F0E1" w14:textId="77777777" w:rsidR="009E21EA" w:rsidRDefault="009E21EA">
                        <w:pPr>
                          <w:pStyle w:val="Heading2"/>
                          <w:rPr>
                            <w:rFonts w:eastAsia="Times New Roman"/>
                          </w:rPr>
                        </w:pPr>
                        <w:r>
                          <w:rPr>
                            <w:rFonts w:eastAsia="Times New Roman"/>
                          </w:rPr>
                          <w:lastRenderedPageBreak/>
                          <w:t>NHSX publishes new CPCS Buyers Guide</w:t>
                        </w:r>
                      </w:p>
                      <w:p w14:paraId="74C2DCB3" w14:textId="3F37368A" w:rsidR="009E21EA" w:rsidRDefault="009E21EA" w:rsidP="009E21E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NHSX and partner organisations have published a new CPCS Buyer’s Guide to help contractors prepare for the transfer to them of the cost of Community Pharmacist Consultation Service (CPCS) IT solutions. </w:t>
                        </w:r>
                      </w:p>
                      <w:p w14:paraId="7299AD9E" w14:textId="77777777" w:rsidR="009E21EA" w:rsidRDefault="009E21EA" w:rsidP="009E21EA">
                        <w:pPr>
                          <w:pStyle w:val="NormalWeb"/>
                          <w:spacing w:line="264" w:lineRule="auto"/>
                          <w:rPr>
                            <w:rFonts w:ascii="Tahoma" w:hAnsi="Tahoma" w:cs="Tahoma"/>
                            <w:color w:val="303030"/>
                            <w:sz w:val="21"/>
                            <w:szCs w:val="21"/>
                          </w:rPr>
                        </w:pPr>
                        <w:r>
                          <w:rPr>
                            <w:rFonts w:ascii="Tahoma" w:hAnsi="Tahoma" w:cs="Tahoma"/>
                            <w:color w:val="303030"/>
                            <w:sz w:val="21"/>
                            <w:szCs w:val="21"/>
                          </w:rPr>
                          <w:t>This guide, which was developed with the support of PSNC, sets out the options and actions required in the move to the CPCS ‘provider pays’ model and will help contractors choose the best CPCS IT provider for them.</w:t>
                        </w:r>
                        <w:r>
                          <w:rPr>
                            <w:rFonts w:ascii="Tahoma" w:hAnsi="Tahoma" w:cs="Tahoma"/>
                            <w:color w:val="303030"/>
                            <w:sz w:val="21"/>
                            <w:szCs w:val="21"/>
                          </w:rPr>
                          <w:br/>
                        </w:r>
                        <w:r>
                          <w:rPr>
                            <w:rFonts w:ascii="Tahoma" w:hAnsi="Tahoma" w:cs="Tahoma"/>
                            <w:color w:val="303030"/>
                            <w:sz w:val="21"/>
                            <w:szCs w:val="21"/>
                          </w:rPr>
                          <w:br/>
                          <w:t>Contractors should sign up to one of the assured CPCS IT providers from mid-next month or at the latest during February 2022 to ensure a smooth transition. NHS England and NHS Improvement (NHSE&amp;I), with the support of PSNC, is holding a webinar on this subject on </w:t>
                        </w:r>
                        <w:r>
                          <w:rPr>
                            <w:rStyle w:val="Strong"/>
                            <w:rFonts w:ascii="Tahoma" w:hAnsi="Tahoma" w:cs="Tahoma"/>
                            <w:color w:val="303030"/>
                            <w:sz w:val="21"/>
                            <w:szCs w:val="21"/>
                          </w:rPr>
                          <w:t xml:space="preserve">Thursday the </w:t>
                        </w:r>
                        <w:proofErr w:type="gramStart"/>
                        <w:r>
                          <w:rPr>
                            <w:rStyle w:val="Strong"/>
                            <w:rFonts w:ascii="Tahoma" w:hAnsi="Tahoma" w:cs="Tahoma"/>
                            <w:color w:val="303030"/>
                            <w:sz w:val="21"/>
                            <w:szCs w:val="21"/>
                          </w:rPr>
                          <w:t>14th</w:t>
                        </w:r>
                        <w:proofErr w:type="gramEnd"/>
                        <w:r>
                          <w:rPr>
                            <w:rStyle w:val="Strong"/>
                            <w:rFonts w:ascii="Tahoma" w:hAnsi="Tahoma" w:cs="Tahoma"/>
                            <w:color w:val="303030"/>
                            <w:sz w:val="21"/>
                            <w:szCs w:val="21"/>
                          </w:rPr>
                          <w:t> October, from 7-8.30pm</w:t>
                        </w:r>
                        <w:r>
                          <w:rPr>
                            <w:rFonts w:ascii="Tahoma" w:hAnsi="Tahoma" w:cs="Tahoma"/>
                            <w:color w:val="303030"/>
                            <w:sz w:val="21"/>
                            <w:szCs w:val="21"/>
                          </w:rPr>
                          <w:t>.</w:t>
                        </w:r>
                      </w:p>
                      <w:p w14:paraId="0CA68A80" w14:textId="77777777" w:rsidR="009E21EA" w:rsidRDefault="009E21EA">
                        <w:pPr>
                          <w:pStyle w:val="NormalWeb"/>
                          <w:spacing w:line="264" w:lineRule="auto"/>
                          <w:jc w:val="both"/>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Read the new CPCS Buyer’s Guide and register for the upcoming webinar</w:t>
                          </w:r>
                        </w:hyperlink>
                      </w:p>
                      <w:p w14:paraId="6C1C0CF7" w14:textId="77777777" w:rsidR="009E21EA" w:rsidRDefault="009E21E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1C53019">
                            <v:rect id="_x0000_i1036" style="width:468pt;height:1.5pt" o:hralign="center" o:hrstd="t" o:hr="t" fillcolor="#a0a0a0" stroked="f"/>
                          </w:pict>
                        </w:r>
                      </w:p>
                      <w:p w14:paraId="0B2A4FFA" w14:textId="77777777" w:rsidR="009E21EA" w:rsidRDefault="009E21EA">
                        <w:pPr>
                          <w:pStyle w:val="Heading2"/>
                          <w:rPr>
                            <w:rFonts w:eastAsia="Times New Roman"/>
                          </w:rPr>
                        </w:pPr>
                        <w:r>
                          <w:rPr>
                            <w:rFonts w:eastAsia="Times New Roman"/>
                          </w:rPr>
                          <w:t>Electronic route for submission of Temporary Safeguarding Payment claims</w:t>
                        </w:r>
                      </w:p>
                      <w:p w14:paraId="714AE131" w14:textId="44342094" w:rsidR="009E21EA" w:rsidRDefault="009E21EA" w:rsidP="009E21E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From this month (</w:t>
                        </w:r>
                        <w:r>
                          <w:rPr>
                            <w:rStyle w:val="Strong"/>
                            <w:rFonts w:ascii="Tahoma" w:eastAsia="Times New Roman" w:hAnsi="Tahoma" w:cs="Tahoma"/>
                            <w:color w:val="303030"/>
                            <w:sz w:val="21"/>
                            <w:szCs w:val="21"/>
                          </w:rPr>
                          <w:t>October 2021</w:t>
                        </w:r>
                        <w:r>
                          <w:rPr>
                            <w:rFonts w:ascii="Tahoma" w:eastAsia="Times New Roman" w:hAnsi="Tahoma" w:cs="Tahoma"/>
                            <w:color w:val="303030"/>
                            <w:sz w:val="21"/>
                            <w:szCs w:val="21"/>
                          </w:rPr>
                          <w:t>), any claims for Temporary Safeguarding Payments are required to be submitted electronically rather than sending a physical form with their FP34C submission document.</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With use of the MYS portal becoming compulsory for submission of FP34Cs from </w:t>
                        </w:r>
                        <w:r>
                          <w:rPr>
                            <w:rStyle w:val="Strong"/>
                            <w:rFonts w:ascii="Tahoma" w:eastAsia="Times New Roman" w:hAnsi="Tahoma" w:cs="Tahoma"/>
                            <w:color w:val="303030"/>
                            <w:sz w:val="21"/>
                            <w:szCs w:val="21"/>
                          </w:rPr>
                          <w:t>March 2022</w:t>
                        </w:r>
                        <w:r>
                          <w:rPr>
                            <w:rFonts w:ascii="Tahoma" w:eastAsia="Times New Roman" w:hAnsi="Tahoma" w:cs="Tahoma"/>
                            <w:color w:val="303030"/>
                            <w:sz w:val="21"/>
                            <w:szCs w:val="21"/>
                          </w:rPr>
                          <w:t>, the Department of Health and Social Care (DHSC) has agreed to a paperless route for submission of Temporary Safeguarding Payment claims.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 about the new electronic submission route</w:t>
                          </w:r>
                        </w:hyperlink>
                        <w:r>
                          <w:rPr>
                            <w:rFonts w:ascii="Tahoma" w:eastAsia="Times New Roman" w:hAnsi="Tahoma" w:cs="Tahoma"/>
                            <w:color w:val="303030"/>
                            <w:sz w:val="21"/>
                            <w:szCs w:val="21"/>
                          </w:rPr>
                          <w:t xml:space="preserve"> </w:t>
                        </w:r>
                      </w:p>
                      <w:p w14:paraId="60ADF78E" w14:textId="77777777" w:rsidR="009E21EA" w:rsidRDefault="009E21E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4D2EA47">
                            <v:rect id="_x0000_i1037" style="width:468pt;height:1.5pt" o:hralign="center" o:hrstd="t" o:hr="t" fillcolor="#a0a0a0" stroked="f"/>
                          </w:pict>
                        </w:r>
                      </w:p>
                      <w:p w14:paraId="0CFEEC03" w14:textId="77777777" w:rsidR="009E21EA" w:rsidRDefault="009E21EA">
                        <w:pPr>
                          <w:pStyle w:val="Heading2"/>
                          <w:rPr>
                            <w:rFonts w:eastAsia="Times New Roman"/>
                          </w:rPr>
                        </w:pPr>
                        <w:r>
                          <w:rPr>
                            <w:rFonts w:eastAsia="Times New Roman"/>
                          </w:rPr>
                          <w:t>MHRA Drug Safety Update October 2021</w:t>
                        </w:r>
                      </w:p>
                      <w:p w14:paraId="2AB0F85F" w14:textId="77777777" w:rsidR="009E21EA" w:rsidRDefault="009E21EA" w:rsidP="009E21EA">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A new Medicines and Healthcare products Regulatory Agency (MHRA) Drug Safety Update has been published and includes articles on COVID-19 vaccines, </w:t>
                        </w:r>
                        <w:proofErr w:type="spellStart"/>
                        <w:r>
                          <w:rPr>
                            <w:rFonts w:ascii="Tahoma" w:hAnsi="Tahoma" w:cs="Tahoma"/>
                            <w:color w:val="303030"/>
                            <w:sz w:val="21"/>
                            <w:szCs w:val="21"/>
                          </w:rPr>
                          <w:t>MedSafetyWeek</w:t>
                        </w:r>
                        <w:proofErr w:type="spellEnd"/>
                        <w:r>
                          <w:rPr>
                            <w:rFonts w:ascii="Tahoma" w:hAnsi="Tahoma" w:cs="Tahoma"/>
                            <w:color w:val="303030"/>
                            <w:sz w:val="21"/>
                            <w:szCs w:val="21"/>
                          </w:rPr>
                          <w:t xml:space="preserve"> 2021, and more.</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Read the MHRA Drug Safety Update</w:t>
                          </w:r>
                        </w:hyperlink>
                      </w:p>
                    </w:tc>
                    <w:tc>
                      <w:tcPr>
                        <w:tcW w:w="150" w:type="dxa"/>
                        <w:vAlign w:val="center"/>
                        <w:hideMark/>
                      </w:tcPr>
                      <w:p w14:paraId="623520B6" w14:textId="77777777" w:rsidR="009E21EA" w:rsidRDefault="009E21EA">
                        <w:pPr>
                          <w:rPr>
                            <w:rFonts w:ascii="Tahoma" w:hAnsi="Tahoma" w:cs="Tahoma"/>
                            <w:color w:val="303030"/>
                            <w:sz w:val="21"/>
                            <w:szCs w:val="21"/>
                          </w:rPr>
                        </w:pPr>
                      </w:p>
                    </w:tc>
                  </w:tr>
                  <w:tr w:rsidR="009E21EA" w14:paraId="391A655A" w14:textId="77777777">
                    <w:trPr>
                      <w:trHeight w:val="150"/>
                      <w:tblCellSpacing w:w="15" w:type="dxa"/>
                      <w:jc w:val="center"/>
                    </w:trPr>
                    <w:tc>
                      <w:tcPr>
                        <w:tcW w:w="150" w:type="dxa"/>
                        <w:vAlign w:val="center"/>
                        <w:hideMark/>
                      </w:tcPr>
                      <w:p w14:paraId="25E51B70" w14:textId="77777777" w:rsidR="009E21EA" w:rsidRDefault="009E21EA">
                        <w:pPr>
                          <w:rPr>
                            <w:rFonts w:ascii="Times New Roman" w:eastAsia="Times New Roman" w:hAnsi="Times New Roman" w:cs="Times New Roman"/>
                            <w:sz w:val="20"/>
                            <w:szCs w:val="20"/>
                          </w:rPr>
                        </w:pPr>
                      </w:p>
                    </w:tc>
                    <w:tc>
                      <w:tcPr>
                        <w:tcW w:w="8700" w:type="dxa"/>
                        <w:vAlign w:val="center"/>
                        <w:hideMark/>
                      </w:tcPr>
                      <w:p w14:paraId="615A6E74" w14:textId="77777777" w:rsidR="009E21EA" w:rsidRDefault="009E21EA">
                        <w:pPr>
                          <w:rPr>
                            <w:rFonts w:ascii="Times New Roman" w:eastAsia="Times New Roman" w:hAnsi="Times New Roman" w:cs="Times New Roman"/>
                            <w:sz w:val="20"/>
                            <w:szCs w:val="20"/>
                          </w:rPr>
                        </w:pPr>
                      </w:p>
                    </w:tc>
                    <w:tc>
                      <w:tcPr>
                        <w:tcW w:w="150" w:type="dxa"/>
                        <w:vAlign w:val="center"/>
                        <w:hideMark/>
                      </w:tcPr>
                      <w:p w14:paraId="654C3F04" w14:textId="77777777" w:rsidR="009E21EA" w:rsidRDefault="009E21EA">
                        <w:pPr>
                          <w:rPr>
                            <w:rFonts w:ascii="Times New Roman" w:eastAsia="Times New Roman" w:hAnsi="Times New Roman" w:cs="Times New Roman"/>
                            <w:sz w:val="20"/>
                            <w:szCs w:val="20"/>
                          </w:rPr>
                        </w:pPr>
                      </w:p>
                    </w:tc>
                  </w:tr>
                </w:tbl>
                <w:p w14:paraId="44AF12EC" w14:textId="77777777" w:rsidR="009E21EA" w:rsidRDefault="009E21EA">
                  <w:pPr>
                    <w:jc w:val="center"/>
                    <w:rPr>
                      <w:rFonts w:ascii="Times New Roman" w:eastAsia="Times New Roman" w:hAnsi="Times New Roman" w:cs="Times New Roman"/>
                      <w:sz w:val="20"/>
                      <w:szCs w:val="20"/>
                    </w:rPr>
                  </w:pPr>
                </w:p>
              </w:tc>
            </w:tr>
          </w:tbl>
          <w:p w14:paraId="41D77BD2" w14:textId="77777777" w:rsidR="009E21EA" w:rsidRDefault="009E21EA">
            <w:pPr>
              <w:jc w:val="center"/>
              <w:rPr>
                <w:rFonts w:ascii="Times New Roman" w:eastAsia="Times New Roman" w:hAnsi="Times New Roman" w:cs="Times New Roman"/>
                <w:sz w:val="20"/>
                <w:szCs w:val="20"/>
              </w:rPr>
            </w:pPr>
          </w:p>
        </w:tc>
      </w:tr>
      <w:tr w:rsidR="009E21EA" w14:paraId="4067C956" w14:textId="77777777" w:rsidTr="009E21E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E21EA" w14:paraId="435009A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E21EA" w14:paraId="49E03741" w14:textId="77777777">
                    <w:trPr>
                      <w:tblCellSpacing w:w="0" w:type="dxa"/>
                      <w:jc w:val="center"/>
                    </w:trPr>
                    <w:tc>
                      <w:tcPr>
                        <w:tcW w:w="3000" w:type="dxa"/>
                        <w:tcMar>
                          <w:top w:w="30" w:type="dxa"/>
                          <w:left w:w="75" w:type="dxa"/>
                          <w:bottom w:w="30" w:type="dxa"/>
                          <w:right w:w="75" w:type="dxa"/>
                        </w:tcMar>
                        <w:hideMark/>
                      </w:tcPr>
                      <w:p w14:paraId="1C6174A3" w14:textId="77777777" w:rsidR="009E21EA" w:rsidRDefault="009E21EA">
                        <w:pPr>
                          <w:pStyle w:val="Heading4"/>
                          <w:jc w:val="center"/>
                          <w:rPr>
                            <w:rFonts w:eastAsia="Times New Roman"/>
                          </w:rPr>
                        </w:pPr>
                        <w:r>
                          <w:rPr>
                            <w:rFonts w:eastAsia="Times New Roman"/>
                          </w:rPr>
                          <w:lastRenderedPageBreak/>
                          <w:t>Pharmaceutical Services Negotiating Committee</w:t>
                        </w:r>
                      </w:p>
                      <w:p w14:paraId="61C4449E" w14:textId="4F27B5FD" w:rsidR="009E21EA" w:rsidRDefault="009E21E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A726C4D" wp14:editId="6C854151">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2B19CE4" wp14:editId="784D251B">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2DCA548" wp14:editId="71374A40">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5BD7574" wp14:editId="1E8D9338">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189431B" w14:textId="77777777" w:rsidR="009E21EA" w:rsidRDefault="009E21E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E21EA" w14:paraId="5DB6F115" w14:textId="77777777" w:rsidTr="009E21EA">
                    <w:trPr>
                      <w:trHeight w:val="125"/>
                      <w:tblCellSpacing w:w="0" w:type="dxa"/>
                      <w:jc w:val="center"/>
                    </w:trPr>
                    <w:tc>
                      <w:tcPr>
                        <w:tcW w:w="9000" w:type="dxa"/>
                        <w:tcMar>
                          <w:top w:w="150" w:type="dxa"/>
                          <w:left w:w="0" w:type="dxa"/>
                          <w:bottom w:w="0" w:type="dxa"/>
                          <w:right w:w="0" w:type="dxa"/>
                        </w:tcMar>
                        <w:vAlign w:val="center"/>
                        <w:hideMark/>
                      </w:tcPr>
                      <w:p w14:paraId="39B4874A" w14:textId="5764BEF7" w:rsidR="009E21EA" w:rsidRDefault="009E21EA" w:rsidP="009E21EA">
                        <w:pPr>
                          <w:rPr>
                            <w:rFonts w:ascii="Arial" w:eastAsia="Times New Roman" w:hAnsi="Arial" w:cs="Arial"/>
                            <w:color w:val="FFFFFF"/>
                            <w:sz w:val="17"/>
                            <w:szCs w:val="17"/>
                          </w:rPr>
                        </w:pPr>
                      </w:p>
                    </w:tc>
                  </w:tr>
                </w:tbl>
                <w:p w14:paraId="4E4B8C3E" w14:textId="77777777" w:rsidR="009E21EA" w:rsidRDefault="009E21EA">
                  <w:pPr>
                    <w:jc w:val="center"/>
                    <w:rPr>
                      <w:rFonts w:ascii="Times New Roman" w:eastAsia="Times New Roman" w:hAnsi="Times New Roman" w:cs="Times New Roman"/>
                      <w:sz w:val="20"/>
                      <w:szCs w:val="20"/>
                    </w:rPr>
                  </w:pPr>
                </w:p>
              </w:tc>
            </w:tr>
          </w:tbl>
          <w:p w14:paraId="708F316B" w14:textId="77777777" w:rsidR="009E21EA" w:rsidRDefault="009E21EA">
            <w:pPr>
              <w:jc w:val="center"/>
              <w:rPr>
                <w:rFonts w:ascii="Times New Roman" w:eastAsia="Times New Roman" w:hAnsi="Times New Roman" w:cs="Times New Roman"/>
                <w:sz w:val="20"/>
                <w:szCs w:val="20"/>
              </w:rPr>
            </w:pPr>
          </w:p>
        </w:tc>
      </w:tr>
    </w:tbl>
    <w:p w14:paraId="68A3BEA2" w14:textId="2AAA72A4" w:rsidR="009E21EA" w:rsidRDefault="009E21EA" w:rsidP="009E21EA">
      <w:pPr>
        <w:rPr>
          <w:rFonts w:eastAsia="Times New Roman"/>
        </w:rPr>
      </w:pPr>
      <w:r>
        <w:rPr>
          <w:rFonts w:eastAsia="Times New Roman"/>
          <w:noProof/>
        </w:rPr>
        <w:drawing>
          <wp:inline distT="0" distB="0" distL="0" distR="0" wp14:anchorId="404FA2C1" wp14:editId="055861B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668638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EA"/>
    <w:rsid w:val="009E21E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9E11"/>
  <w15:chartTrackingRefBased/>
  <w15:docId w15:val="{7AFBFDA8-104F-4523-AC4B-E3D0E657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1EA"/>
    <w:rPr>
      <w:rFonts w:ascii="Calibri" w:hAnsi="Calibri" w:cs="Calibri"/>
      <w:lang w:eastAsia="en-GB"/>
    </w:rPr>
  </w:style>
  <w:style w:type="paragraph" w:styleId="Heading1">
    <w:name w:val="heading 1"/>
    <w:basedOn w:val="Normal"/>
    <w:link w:val="Heading1Char"/>
    <w:uiPriority w:val="9"/>
    <w:qFormat/>
    <w:rsid w:val="009E21E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E21E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9E21E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1E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E21E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9E21EA"/>
    <w:rPr>
      <w:rFonts w:ascii="Tahoma" w:hAnsi="Tahoma" w:cs="Tahoma"/>
      <w:b/>
      <w:bCs/>
      <w:color w:val="FFFFFF"/>
      <w:sz w:val="18"/>
      <w:szCs w:val="18"/>
      <w:lang w:eastAsia="en-GB"/>
    </w:rPr>
  </w:style>
  <w:style w:type="paragraph" w:styleId="NormalWeb">
    <w:name w:val="Normal (Web)"/>
    <w:basedOn w:val="Normal"/>
    <w:uiPriority w:val="99"/>
    <w:semiHidden/>
    <w:unhideWhenUsed/>
    <w:rsid w:val="009E21EA"/>
    <w:pPr>
      <w:spacing w:before="100" w:beforeAutospacing="1" w:after="100" w:afterAutospacing="1"/>
    </w:pPr>
  </w:style>
  <w:style w:type="character" w:styleId="Strong">
    <w:name w:val="Strong"/>
    <w:basedOn w:val="DefaultParagraphFont"/>
    <w:uiPriority w:val="22"/>
    <w:qFormat/>
    <w:rsid w:val="009E21EA"/>
    <w:rPr>
      <w:b/>
      <w:bCs/>
    </w:rPr>
  </w:style>
  <w:style w:type="character" w:styleId="Hyperlink">
    <w:name w:val="Hyperlink"/>
    <w:basedOn w:val="DefaultParagraphFont"/>
    <w:uiPriority w:val="99"/>
    <w:semiHidden/>
    <w:unhideWhenUsed/>
    <w:rsid w:val="009E21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a668b7268&amp;e=d19e9fd41c" TargetMode="External"/><Relationship Id="rId13" Type="http://schemas.openxmlformats.org/officeDocument/2006/relationships/hyperlink" Target="https://psnc.us7.list-manage.com/track/click?u=86d41ab7fa4c7c2c5d7210782&amp;id=26a1cc3748&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ecfce7cc9&amp;e=d19e9fd41c" TargetMode="External"/><Relationship Id="rId17" Type="http://schemas.openxmlformats.org/officeDocument/2006/relationships/hyperlink" Target="https://psnc.us7.list-manage.com/track/click?u=86d41ab7fa4c7c2c5d7210782&amp;id=57af4de419&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ef5c61bfe6&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1a4286aea&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ffdabdd194&amp;e=d19e9fd41c" TargetMode="External"/><Relationship Id="rId28" Type="http://schemas.openxmlformats.org/officeDocument/2006/relationships/image" Target="https://psnc.us7.list-manage.com/track/open.php?u=86d41ab7fa4c7c2c5d7210782&amp;id=8897c3b540&amp;e=d19e9fd41c" TargetMode="External"/><Relationship Id="rId10" Type="http://schemas.openxmlformats.org/officeDocument/2006/relationships/hyperlink" Target="https://psnc.us7.list-manage.com/track/click?u=86d41ab7fa4c7c2c5d7210782&amp;id=23a8636c0f&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1da71784c5&amp;e=d19e9fd41c" TargetMode="External"/><Relationship Id="rId14" Type="http://schemas.openxmlformats.org/officeDocument/2006/relationships/hyperlink" Target="https://psnc.us7.list-manage.com/track/click?u=86d41ab7fa4c7c2c5d7210782&amp;id=f46ef71359&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2021-10-11T08:55:00Z</dcterms:created>
  <dcterms:modified xsi:type="dcterms:W3CDTF">2021-10-11T08:57:00Z</dcterms:modified>
</cp:coreProperties>
</file>