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4B28EB" w14:paraId="651F2881" w14:textId="77777777" w:rsidTr="004B28EB">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4B28EB" w14:paraId="57964D38"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4B28EB" w14:paraId="611A8314" w14:textId="77777777">
                    <w:trPr>
                      <w:tblCellSpacing w:w="0" w:type="dxa"/>
                      <w:jc w:val="center"/>
                    </w:trPr>
                    <w:tc>
                      <w:tcPr>
                        <w:tcW w:w="3000" w:type="dxa"/>
                        <w:hideMark/>
                      </w:tcPr>
                      <w:p w14:paraId="1AF91800" w14:textId="65076B57" w:rsidR="004B28EB" w:rsidRDefault="004B28EB" w:rsidP="004B28EB">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51237041" w14:textId="77777777" w:rsidR="004B28EB" w:rsidRDefault="004B28EB">
                  <w:pPr>
                    <w:jc w:val="center"/>
                    <w:rPr>
                      <w:rFonts w:ascii="Times New Roman" w:eastAsia="Times New Roman" w:hAnsi="Times New Roman" w:cs="Times New Roman"/>
                      <w:sz w:val="20"/>
                      <w:szCs w:val="20"/>
                    </w:rPr>
                  </w:pPr>
                </w:p>
              </w:tc>
            </w:tr>
          </w:tbl>
          <w:p w14:paraId="3C1D54DB" w14:textId="77777777" w:rsidR="004B28EB" w:rsidRDefault="004B28EB">
            <w:pPr>
              <w:jc w:val="center"/>
              <w:rPr>
                <w:rFonts w:eastAsia="Times New Roman"/>
                <w:vanish/>
              </w:rPr>
            </w:pP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4B28EB" w14:paraId="405638B2" w14:textId="77777777">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4B28EB" w14:paraId="467F607B" w14:textId="77777777">
                    <w:trPr>
                      <w:gridAfter w:val="1"/>
                      <w:wAfter w:w="3450" w:type="dxa"/>
                      <w:trHeight w:val="269"/>
                      <w:tblCellSpacing w:w="0" w:type="dxa"/>
                    </w:trPr>
                    <w:tc>
                      <w:tcPr>
                        <w:tcW w:w="2700" w:type="dxa"/>
                        <w:vMerge w:val="restart"/>
                        <w:tcBorders>
                          <w:top w:val="nil"/>
                          <w:left w:val="nil"/>
                          <w:bottom w:val="single" w:sz="2" w:space="0" w:color="FFFFFF"/>
                          <w:right w:val="nil"/>
                        </w:tcBorders>
                        <w:vAlign w:val="center"/>
                        <w:hideMark/>
                      </w:tcPr>
                      <w:p w14:paraId="4C4D2488" w14:textId="7F749DFE" w:rsidR="004B28EB" w:rsidRDefault="004B28EB">
                        <w:pPr>
                          <w:jc w:val="center"/>
                          <w:rPr>
                            <w:rFonts w:eastAsia="Times New Roman"/>
                          </w:rPr>
                        </w:pPr>
                        <w:r>
                          <w:rPr>
                            <w:rFonts w:eastAsia="Times New Roman"/>
                            <w:noProof/>
                          </w:rPr>
                          <w:drawing>
                            <wp:inline distT="0" distB="0" distL="0" distR="0" wp14:anchorId="1FF6FBB3" wp14:editId="514FDA40">
                              <wp:extent cx="938530" cy="6737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8530" cy="673735"/>
                                      </a:xfrm>
                                      <a:prstGeom prst="rect">
                                        <a:avLst/>
                                      </a:prstGeom>
                                      <a:noFill/>
                                      <a:ln>
                                        <a:noFill/>
                                      </a:ln>
                                    </pic:spPr>
                                  </pic:pic>
                                </a:graphicData>
                              </a:graphic>
                            </wp:inline>
                          </w:drawing>
                        </w:r>
                      </w:p>
                    </w:tc>
                  </w:tr>
                  <w:tr w:rsidR="004B28EB" w14:paraId="68100E77" w14:textId="77777777">
                    <w:trPr>
                      <w:tblCellSpacing w:w="0" w:type="dxa"/>
                    </w:trPr>
                    <w:tc>
                      <w:tcPr>
                        <w:tcW w:w="0" w:type="auto"/>
                        <w:vMerge/>
                        <w:tcBorders>
                          <w:top w:val="nil"/>
                          <w:left w:val="nil"/>
                          <w:bottom w:val="single" w:sz="2" w:space="0" w:color="FFFFFF"/>
                          <w:right w:val="nil"/>
                        </w:tcBorders>
                        <w:vAlign w:val="center"/>
                        <w:hideMark/>
                      </w:tcPr>
                      <w:p w14:paraId="1FA517D1" w14:textId="77777777" w:rsidR="004B28EB" w:rsidRDefault="004B28EB">
                        <w:pPr>
                          <w:rPr>
                            <w:rFonts w:eastAsia="Times New Roman"/>
                          </w:rPr>
                        </w:pPr>
                      </w:p>
                    </w:tc>
                    <w:tc>
                      <w:tcPr>
                        <w:tcW w:w="3450" w:type="dxa"/>
                        <w:tcBorders>
                          <w:top w:val="nil"/>
                          <w:left w:val="nil"/>
                          <w:bottom w:val="nil"/>
                          <w:right w:val="nil"/>
                        </w:tcBorders>
                        <w:vAlign w:val="center"/>
                        <w:hideMark/>
                      </w:tcPr>
                      <w:p w14:paraId="1B8F6B32" w14:textId="77777777" w:rsidR="004B28EB" w:rsidRDefault="004B28EB">
                        <w:pPr>
                          <w:pStyle w:val="Heading1"/>
                          <w:rPr>
                            <w:rFonts w:eastAsia="Times New Roman"/>
                          </w:rPr>
                        </w:pPr>
                        <w:r>
                          <w:rPr>
                            <w:rFonts w:eastAsia="Times New Roman"/>
                          </w:rPr>
                          <w:t>PSNC Newsletter</w:t>
                        </w:r>
                      </w:p>
                    </w:tc>
                  </w:tr>
                  <w:tr w:rsidR="004B28EB" w14:paraId="730498EC" w14:textId="77777777">
                    <w:trPr>
                      <w:tblCellSpacing w:w="0" w:type="dxa"/>
                    </w:trPr>
                    <w:tc>
                      <w:tcPr>
                        <w:tcW w:w="0" w:type="auto"/>
                        <w:vMerge/>
                        <w:tcBorders>
                          <w:top w:val="nil"/>
                          <w:left w:val="nil"/>
                          <w:bottom w:val="single" w:sz="2" w:space="0" w:color="FFFFFF"/>
                          <w:right w:val="nil"/>
                        </w:tcBorders>
                        <w:vAlign w:val="center"/>
                        <w:hideMark/>
                      </w:tcPr>
                      <w:p w14:paraId="4B07D900" w14:textId="77777777" w:rsidR="004B28EB" w:rsidRDefault="004B28EB">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071CB2D0" w14:textId="77777777" w:rsidR="004B28EB" w:rsidRDefault="004B28EB">
                        <w:pPr>
                          <w:pStyle w:val="Heading2"/>
                          <w:rPr>
                            <w:rFonts w:eastAsia="Times New Roman"/>
                            <w:color w:val="93378A"/>
                          </w:rPr>
                        </w:pPr>
                        <w:r>
                          <w:rPr>
                            <w:rFonts w:eastAsia="Times New Roman"/>
                            <w:color w:val="93378A"/>
                          </w:rPr>
                          <w:t>Tuesday 7th September 2021</w:t>
                        </w:r>
                      </w:p>
                    </w:tc>
                  </w:tr>
                </w:tbl>
                <w:p w14:paraId="126B7AE4" w14:textId="77777777" w:rsidR="004B28EB" w:rsidRDefault="004B28EB">
                  <w:pPr>
                    <w:rPr>
                      <w:rFonts w:ascii="Times New Roman" w:eastAsia="Times New Roman" w:hAnsi="Times New Roman" w:cs="Times New Roman"/>
                      <w:sz w:val="20"/>
                      <w:szCs w:val="20"/>
                    </w:rPr>
                  </w:pPr>
                </w:p>
              </w:tc>
            </w:tr>
            <w:tr w:rsidR="004B28EB" w14:paraId="4A2A63DF" w14:textId="77777777">
              <w:trPr>
                <w:tblCellSpacing w:w="0" w:type="dxa"/>
                <w:jc w:val="center"/>
              </w:trPr>
              <w:tc>
                <w:tcPr>
                  <w:tcW w:w="9000" w:type="dxa"/>
                  <w:hideMark/>
                </w:tcPr>
                <w:p w14:paraId="46C9E386" w14:textId="3DAF950B" w:rsidR="004B28EB" w:rsidRDefault="004B28EB">
                  <w:pPr>
                    <w:rPr>
                      <w:rFonts w:eastAsia="Times New Roman"/>
                    </w:rPr>
                  </w:pPr>
                  <w:r>
                    <w:rPr>
                      <w:rFonts w:eastAsia="Times New Roman"/>
                      <w:noProof/>
                    </w:rPr>
                    <w:drawing>
                      <wp:inline distT="0" distB="0" distL="0" distR="0" wp14:anchorId="6122D3B3" wp14:editId="75544A34">
                        <wp:extent cx="5702935" cy="216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2935" cy="216535"/>
                                </a:xfrm>
                                <a:prstGeom prst="rect">
                                  <a:avLst/>
                                </a:prstGeom>
                                <a:noFill/>
                                <a:ln>
                                  <a:noFill/>
                                </a:ln>
                              </pic:spPr>
                            </pic:pic>
                          </a:graphicData>
                        </a:graphic>
                      </wp:inline>
                    </w:drawing>
                  </w:r>
                </w:p>
              </w:tc>
            </w:tr>
            <w:tr w:rsidR="004B28EB" w14:paraId="0E3ED225" w14:textId="77777777">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4B28EB" w14:paraId="1517312A" w14:textId="77777777">
                    <w:trPr>
                      <w:trHeight w:val="150"/>
                      <w:tblCellSpacing w:w="15" w:type="dxa"/>
                      <w:jc w:val="center"/>
                    </w:trPr>
                    <w:tc>
                      <w:tcPr>
                        <w:tcW w:w="150" w:type="dxa"/>
                        <w:vAlign w:val="center"/>
                        <w:hideMark/>
                      </w:tcPr>
                      <w:p w14:paraId="574633D5" w14:textId="77777777" w:rsidR="004B28EB" w:rsidRDefault="004B28EB">
                        <w:pPr>
                          <w:rPr>
                            <w:rFonts w:eastAsia="Times New Roman"/>
                          </w:rPr>
                        </w:pPr>
                      </w:p>
                    </w:tc>
                    <w:tc>
                      <w:tcPr>
                        <w:tcW w:w="8700" w:type="dxa"/>
                        <w:vAlign w:val="center"/>
                        <w:hideMark/>
                      </w:tcPr>
                      <w:p w14:paraId="3B3F59B5" w14:textId="77777777" w:rsidR="004B28EB" w:rsidRDefault="004B28EB">
                        <w:pPr>
                          <w:rPr>
                            <w:rFonts w:ascii="Times New Roman" w:eastAsia="Times New Roman" w:hAnsi="Times New Roman" w:cs="Times New Roman"/>
                            <w:sz w:val="20"/>
                            <w:szCs w:val="20"/>
                          </w:rPr>
                        </w:pPr>
                      </w:p>
                    </w:tc>
                    <w:tc>
                      <w:tcPr>
                        <w:tcW w:w="150" w:type="dxa"/>
                        <w:vAlign w:val="center"/>
                        <w:hideMark/>
                      </w:tcPr>
                      <w:p w14:paraId="08613ABE" w14:textId="77777777" w:rsidR="004B28EB" w:rsidRDefault="004B28EB">
                        <w:pPr>
                          <w:rPr>
                            <w:rFonts w:ascii="Times New Roman" w:eastAsia="Times New Roman" w:hAnsi="Times New Roman" w:cs="Times New Roman"/>
                            <w:sz w:val="20"/>
                            <w:szCs w:val="20"/>
                          </w:rPr>
                        </w:pPr>
                      </w:p>
                    </w:tc>
                  </w:tr>
                  <w:tr w:rsidR="004B28EB" w14:paraId="2766F92E" w14:textId="77777777">
                    <w:trPr>
                      <w:tblCellSpacing w:w="15" w:type="dxa"/>
                      <w:jc w:val="center"/>
                    </w:trPr>
                    <w:tc>
                      <w:tcPr>
                        <w:tcW w:w="150" w:type="dxa"/>
                        <w:vAlign w:val="center"/>
                        <w:hideMark/>
                      </w:tcPr>
                      <w:p w14:paraId="35C5DD31" w14:textId="77777777" w:rsidR="004B28EB" w:rsidRDefault="004B28EB">
                        <w:pPr>
                          <w:rPr>
                            <w:rFonts w:ascii="Times New Roman" w:eastAsia="Times New Roman" w:hAnsi="Times New Roman" w:cs="Times New Roman"/>
                            <w:sz w:val="20"/>
                            <w:szCs w:val="20"/>
                          </w:rPr>
                        </w:pPr>
                      </w:p>
                    </w:tc>
                    <w:tc>
                      <w:tcPr>
                        <w:tcW w:w="8700" w:type="dxa"/>
                        <w:vAlign w:val="center"/>
                        <w:hideMark/>
                      </w:tcPr>
                      <w:p w14:paraId="02C37ED7" w14:textId="77777777" w:rsidR="004B28EB" w:rsidRDefault="004B28EB" w:rsidP="004B28E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This newsletter from PSNC is sent every Tuesday and Friday. It contains important information for those that work in the community pharmacy sector.</w:t>
                        </w:r>
                      </w:p>
                      <w:p w14:paraId="20E5B003" w14:textId="77777777" w:rsidR="004B28EB" w:rsidRDefault="004B28EB" w:rsidP="004B28E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020536C">
                            <v:rect id="_x0000_i1027" style="width:468pt;height:1.5pt" o:hrstd="t" o:hr="t" fillcolor="#a0a0a0" stroked="f"/>
                          </w:pict>
                        </w:r>
                      </w:p>
                      <w:p w14:paraId="269E1585" w14:textId="77777777" w:rsidR="004B28EB" w:rsidRDefault="004B28EB" w:rsidP="004B28EB">
                        <w:pPr>
                          <w:pStyle w:val="Heading2"/>
                          <w:rPr>
                            <w:rFonts w:eastAsia="Times New Roman"/>
                          </w:rPr>
                        </w:pPr>
                        <w:r>
                          <w:rPr>
                            <w:rFonts w:eastAsia="Times New Roman"/>
                          </w:rPr>
                          <w:t>In this update: cashflow impact of end of PEPS; C-19 cost claims update; Hypertension Case-Finding service requirements; PQS 2021/22 webinar; PSNC website restructuring.</w:t>
                        </w:r>
                      </w:p>
                      <w:p w14:paraId="19AC632A" w14:textId="77777777" w:rsidR="004B28EB" w:rsidRDefault="004B28EB" w:rsidP="004B28E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32CFE19">
                            <v:rect id="_x0000_i1028" style="width:468pt;height:1.5pt" o:hrstd="t" o:hr="t" fillcolor="#a0a0a0" stroked="f"/>
                          </w:pict>
                        </w:r>
                      </w:p>
                      <w:p w14:paraId="0564FF8E" w14:textId="77777777" w:rsidR="004B28EB" w:rsidRDefault="004B28EB" w:rsidP="004B28EB">
                        <w:pPr>
                          <w:pStyle w:val="Heading3"/>
                          <w:rPr>
                            <w:rFonts w:eastAsia="Times New Roman"/>
                          </w:rPr>
                        </w:pPr>
                        <w:r>
                          <w:rPr>
                            <w:rFonts w:eastAsia="Times New Roman"/>
                          </w:rPr>
                          <w:t>Impact on cashflow of end of PEPS</w:t>
                        </w:r>
                      </w:p>
                      <w:p w14:paraId="0EAC8E08" w14:textId="68ADE595" w:rsidR="004B28EB" w:rsidRDefault="004B28EB" w:rsidP="004B28E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We have now issued a briefing about the winding down of the Government’s Pharmacy Earlier Payment Scheme (PEPS). This briefing includes a cashflow model, setting out the implications of the end of the scheme for contractors affected.</w:t>
                        </w:r>
                        <w:r>
                          <w:rPr>
                            <w:rFonts w:ascii="Tahoma" w:eastAsia="Times New Roman" w:hAnsi="Tahoma" w:cs="Tahoma"/>
                            <w:color w:val="303030"/>
                            <w:sz w:val="21"/>
                            <w:szCs w:val="21"/>
                          </w:rPr>
                          <w:br/>
                        </w:r>
                        <w:r>
                          <w:rPr>
                            <w:rFonts w:ascii="Tahoma" w:eastAsia="Times New Roman" w:hAnsi="Tahoma" w:cs="Tahoma"/>
                            <w:color w:val="303030"/>
                            <w:sz w:val="21"/>
                            <w:szCs w:val="21"/>
                          </w:rPr>
                          <w:br/>
                          <w:t>The document also includes timelines of the transition away from the PEPS payment timetable to help affected contractors understand when they will see the changes in their payments so that they can prepare accordingly.</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6" w:tgtFrame="_blank" w:history="1">
                          <w:r>
                            <w:rPr>
                              <w:rStyle w:val="Hyperlink"/>
                              <w:rFonts w:ascii="Tahoma" w:eastAsia="Times New Roman" w:hAnsi="Tahoma" w:cs="Tahoma"/>
                              <w:b/>
                              <w:bCs/>
                              <w:color w:val="4E3487"/>
                              <w:sz w:val="21"/>
                              <w:szCs w:val="21"/>
                            </w:rPr>
                            <w:t>Read PSNC's PEPS cashflow briefing </w:t>
                          </w:r>
                        </w:hyperlink>
                        <w:r>
                          <w:rPr>
                            <w:rFonts w:ascii="Tahoma" w:eastAsia="Times New Roman" w:hAnsi="Tahoma" w:cs="Tahoma"/>
                            <w:color w:val="303030"/>
                            <w:sz w:val="21"/>
                            <w:szCs w:val="21"/>
                          </w:rPr>
                          <w:t xml:space="preserve"> </w:t>
                        </w:r>
                      </w:p>
                      <w:p w14:paraId="0CD1792A" w14:textId="77777777" w:rsidR="004B28EB" w:rsidRDefault="004B28EB" w:rsidP="004B28E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01CD0D6">
                            <v:rect id="_x0000_i1029" style="width:468pt;height:1.5pt" o:hrstd="t" o:hr="t" fillcolor="#a0a0a0" stroked="f"/>
                          </w:pict>
                        </w:r>
                      </w:p>
                      <w:p w14:paraId="5B21F2D5" w14:textId="77777777" w:rsidR="004B28EB" w:rsidRDefault="004B28EB" w:rsidP="004B28EB">
                        <w:pPr>
                          <w:pStyle w:val="Heading3"/>
                          <w:rPr>
                            <w:rFonts w:eastAsia="Times New Roman"/>
                          </w:rPr>
                        </w:pPr>
                        <w:r>
                          <w:rPr>
                            <w:rFonts w:eastAsia="Times New Roman"/>
                          </w:rPr>
                          <w:t>COVID-19 cost claims update</w:t>
                        </w:r>
                      </w:p>
                      <w:p w14:paraId="406DC685" w14:textId="724D846E" w:rsidR="004B28EB" w:rsidRDefault="004B28EB" w:rsidP="004B28E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We are pleased to report that the majority of community pharmacy contractors submitted a claim for their COVID-19 costs and that the total claimed for is significantly higher than the </w:t>
                        </w:r>
                        <w:hyperlink r:id="rId7" w:tgtFrame="_blank" w:history="1">
                          <w:r>
                            <w:rPr>
                              <w:rStyle w:val="Hyperlink"/>
                              <w:rFonts w:ascii="Tahoma" w:eastAsia="Times New Roman" w:hAnsi="Tahoma" w:cs="Tahoma"/>
                              <w:b/>
                              <w:bCs/>
                              <w:color w:val="4E3487"/>
                              <w:sz w:val="21"/>
                              <w:szCs w:val="21"/>
                            </w:rPr>
                            <w:t>£120 million initially offered to the sector by HM Government (which PSNC rejected last summer)</w:t>
                          </w:r>
                        </w:hyperlink>
                        <w:r>
                          <w:rPr>
                            <w:rFonts w:ascii="Tahoma" w:eastAsia="Times New Roman" w:hAnsi="Tahoma" w:cs="Tahoma"/>
                            <w:color w:val="303030"/>
                            <w:sz w:val="21"/>
                            <w:szCs w:val="21"/>
                          </w:rPr>
                          <w:t xml:space="preserve">. </w:t>
                        </w:r>
                      </w:p>
                      <w:p w14:paraId="4E65C0CB" w14:textId="77777777" w:rsidR="004B28EB" w:rsidRDefault="004B28EB" w:rsidP="004B28EB">
                        <w:pPr>
                          <w:pStyle w:val="NormalWeb"/>
                          <w:spacing w:line="264" w:lineRule="auto"/>
                          <w:rPr>
                            <w:rFonts w:ascii="Tahoma" w:hAnsi="Tahoma" w:cs="Tahoma"/>
                            <w:color w:val="303030"/>
                            <w:sz w:val="21"/>
                            <w:szCs w:val="21"/>
                          </w:rPr>
                        </w:pPr>
                        <w:r>
                          <w:rPr>
                            <w:rFonts w:ascii="Tahoma" w:hAnsi="Tahoma" w:cs="Tahoma"/>
                            <w:color w:val="303030"/>
                            <w:sz w:val="21"/>
                            <w:szCs w:val="21"/>
                          </w:rPr>
                          <w:t>The NHS Business Services Authority (NHSBSA) has been processing these claims and PSNC is now in urgent discussions with them and the Government about any outliers that have been identified. In these conversations, PSNC is also demanding that contractors receive a payment for their COVID-19 costs in time for the first repayment of last year’s Advances.</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Learn more about the COVID-19 cost claims process</w:t>
                          </w:r>
                        </w:hyperlink>
                      </w:p>
                      <w:p w14:paraId="30A21BD7" w14:textId="77777777" w:rsidR="004B28EB" w:rsidRDefault="004B28EB" w:rsidP="004B28E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C846DB8">
                            <v:rect id="_x0000_i1030" style="width:468pt;height:1.5pt" o:hrstd="t" o:hr="t" fillcolor="#a0a0a0" stroked="f"/>
                          </w:pict>
                        </w:r>
                      </w:p>
                      <w:p w14:paraId="5612D6C1" w14:textId="77777777" w:rsidR="004B28EB" w:rsidRDefault="004B28EB" w:rsidP="004B28EB">
                        <w:pPr>
                          <w:pStyle w:val="Heading3"/>
                          <w:rPr>
                            <w:rFonts w:eastAsia="Times New Roman"/>
                          </w:rPr>
                        </w:pPr>
                        <w:r>
                          <w:rPr>
                            <w:rFonts w:eastAsia="Times New Roman"/>
                          </w:rPr>
                          <w:t>Hypertension Case-Finding: equipment and training</w:t>
                        </w:r>
                      </w:p>
                      <w:p w14:paraId="2BC5872D" w14:textId="22DE611B" w:rsidR="004B28EB" w:rsidRDefault="004B28EB" w:rsidP="004B28E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To help contractors prepare to provide the new Hypertension case-finding Advanced service going live from </w:t>
                        </w:r>
                        <w:r>
                          <w:rPr>
                            <w:rStyle w:val="Strong"/>
                            <w:rFonts w:ascii="Tahoma" w:eastAsia="Times New Roman" w:hAnsi="Tahoma" w:cs="Tahoma"/>
                            <w:color w:val="303030"/>
                            <w:sz w:val="21"/>
                            <w:szCs w:val="21"/>
                          </w:rPr>
                          <w:t>1st October 2021</w:t>
                        </w:r>
                        <w:r>
                          <w:rPr>
                            <w:rFonts w:ascii="Tahoma" w:eastAsia="Times New Roman" w:hAnsi="Tahoma" w:cs="Tahoma"/>
                            <w:color w:val="303030"/>
                            <w:sz w:val="21"/>
                            <w:szCs w:val="21"/>
                          </w:rPr>
                          <w:t>, information about the equipment and training requirements needed to provide this service has now been published on the PSNC website.</w:t>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br/>
                        </w:r>
                        <w:hyperlink r:id="rId9" w:tgtFrame="_blank" w:history="1">
                          <w:r>
                            <w:rPr>
                              <w:rStyle w:val="Hyperlink"/>
                              <w:rFonts w:ascii="Tahoma" w:eastAsia="Times New Roman" w:hAnsi="Tahoma" w:cs="Tahoma"/>
                              <w:b/>
                              <w:bCs/>
                              <w:color w:val="4E3487"/>
                              <w:sz w:val="21"/>
                              <w:szCs w:val="21"/>
                            </w:rPr>
                            <w:t>Visit the Hypertension Case-Finding service webpage</w:t>
                          </w:r>
                        </w:hyperlink>
                        <w:r>
                          <w:rPr>
                            <w:rFonts w:ascii="Tahoma" w:eastAsia="Times New Roman" w:hAnsi="Tahoma" w:cs="Tahoma"/>
                            <w:color w:val="303030"/>
                            <w:sz w:val="21"/>
                            <w:szCs w:val="21"/>
                          </w:rPr>
                          <w:t xml:space="preserve"> </w:t>
                        </w:r>
                      </w:p>
                      <w:p w14:paraId="53DF93C0" w14:textId="77777777" w:rsidR="004B28EB" w:rsidRDefault="004B28EB" w:rsidP="004B28E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F720CB9">
                            <v:rect id="_x0000_i1031" style="width:468pt;height:1.5pt" o:hrstd="t" o:hr="t" fillcolor="#a0a0a0" stroked="f"/>
                          </w:pict>
                        </w:r>
                      </w:p>
                      <w:p w14:paraId="433414C0" w14:textId="77777777" w:rsidR="004B28EB" w:rsidRDefault="004B28EB" w:rsidP="004B28EB">
                        <w:pPr>
                          <w:pStyle w:val="Heading3"/>
                          <w:rPr>
                            <w:rFonts w:eastAsia="Times New Roman"/>
                          </w:rPr>
                        </w:pPr>
                        <w:r>
                          <w:rPr>
                            <w:rFonts w:eastAsia="Times New Roman"/>
                          </w:rPr>
                          <w:t>PQS 2021/22 webinar</w:t>
                        </w:r>
                      </w:p>
                      <w:p w14:paraId="400CE816" w14:textId="48400713" w:rsidR="004B28EB" w:rsidRDefault="004B28EB" w:rsidP="004B28E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 will be holding a webinar on </w:t>
                        </w:r>
                        <w:r>
                          <w:rPr>
                            <w:rStyle w:val="Strong"/>
                            <w:rFonts w:ascii="Tahoma" w:eastAsia="Times New Roman" w:hAnsi="Tahoma" w:cs="Tahoma"/>
                            <w:color w:val="303030"/>
                            <w:sz w:val="21"/>
                            <w:szCs w:val="21"/>
                          </w:rPr>
                          <w:t>Tuesday 14th September at 7.30pm </w:t>
                        </w:r>
                        <w:r>
                          <w:rPr>
                            <w:rFonts w:ascii="Tahoma" w:eastAsia="Times New Roman" w:hAnsi="Tahoma" w:cs="Tahoma"/>
                            <w:color w:val="303030"/>
                            <w:sz w:val="21"/>
                            <w:szCs w:val="21"/>
                          </w:rPr>
                          <w:t xml:space="preserve">to support contractors to take part in the 2021/22 Pharmacy Quality Scheme (PQS).  </w:t>
                        </w:r>
                      </w:p>
                      <w:p w14:paraId="4A3061C4" w14:textId="77777777" w:rsidR="004B28EB" w:rsidRDefault="004B28EB" w:rsidP="004B28EB">
                        <w:pPr>
                          <w:pStyle w:val="NormalWeb"/>
                          <w:spacing w:line="264" w:lineRule="auto"/>
                          <w:rPr>
                            <w:rFonts w:ascii="Tahoma" w:hAnsi="Tahoma" w:cs="Tahoma"/>
                            <w:color w:val="303030"/>
                            <w:sz w:val="21"/>
                            <w:szCs w:val="21"/>
                          </w:rPr>
                        </w:pPr>
                        <w:r>
                          <w:rPr>
                            <w:rFonts w:ascii="Tahoma" w:hAnsi="Tahoma" w:cs="Tahoma"/>
                            <w:color w:val="303030"/>
                            <w:sz w:val="21"/>
                            <w:szCs w:val="21"/>
                          </w:rPr>
                          <w:t>During this webinar, Rosie Taylor, Head of Service Development at PSNC, will explain the new gateway criteria and domain requirements for the 2021/22 PQS. As well as describing the differences from the previous Schemes, Rosie will also outline the guidance and resources developed by PSNC, plus where to find further information and support. </w:t>
                        </w:r>
                      </w:p>
                      <w:p w14:paraId="3D238ADF" w14:textId="77777777" w:rsidR="004B28EB" w:rsidRDefault="004B28EB" w:rsidP="004B28EB">
                        <w:pPr>
                          <w:pStyle w:val="NormalWeb"/>
                          <w:spacing w:line="264" w:lineRule="auto"/>
                          <w:rPr>
                            <w:rFonts w:ascii="Tahoma" w:hAnsi="Tahoma" w:cs="Tahoma"/>
                            <w:color w:val="303030"/>
                            <w:sz w:val="21"/>
                            <w:szCs w:val="21"/>
                          </w:rPr>
                        </w:pPr>
                        <w:hyperlink r:id="rId10" w:tgtFrame="_blank" w:history="1">
                          <w:r>
                            <w:rPr>
                              <w:rStyle w:val="Hyperlink"/>
                              <w:rFonts w:ascii="Tahoma" w:hAnsi="Tahoma" w:cs="Tahoma"/>
                              <w:b/>
                              <w:bCs/>
                              <w:color w:val="4E3487"/>
                              <w:sz w:val="21"/>
                              <w:szCs w:val="21"/>
                            </w:rPr>
                            <w:t>Book your place now</w:t>
                          </w:r>
                        </w:hyperlink>
                      </w:p>
                      <w:p w14:paraId="179371B8" w14:textId="77777777" w:rsidR="004B28EB" w:rsidRDefault="004B28EB" w:rsidP="004B28E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55F1017">
                            <v:rect id="_x0000_i1032" style="width:468pt;height:1.5pt" o:hrstd="t" o:hr="t" fillcolor="#a0a0a0" stroked="f"/>
                          </w:pict>
                        </w:r>
                      </w:p>
                      <w:p w14:paraId="0E7E581E" w14:textId="77777777" w:rsidR="004B28EB" w:rsidRDefault="004B28EB" w:rsidP="004B28EB">
                        <w:pPr>
                          <w:pStyle w:val="Heading3"/>
                          <w:rPr>
                            <w:rFonts w:eastAsia="Times New Roman"/>
                          </w:rPr>
                        </w:pPr>
                        <w:r>
                          <w:rPr>
                            <w:rFonts w:eastAsia="Times New Roman"/>
                          </w:rPr>
                          <w:t>PSNC Website: Have your say on content structure</w:t>
                        </w:r>
                      </w:p>
                      <w:p w14:paraId="20073A30" w14:textId="5B5C3B91" w:rsidR="004B28EB" w:rsidRDefault="004B28EB" w:rsidP="004B28E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Those working in community pharmacy are being invited to complete a content sorting exercise to help us remap our content and improve our navigation menus as part of a website overhaul.</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Complete PSNC’s website reorganisation exercise</w:t>
                          </w:r>
                        </w:hyperlink>
                      </w:p>
                    </w:tc>
                    <w:tc>
                      <w:tcPr>
                        <w:tcW w:w="150" w:type="dxa"/>
                        <w:vAlign w:val="center"/>
                        <w:hideMark/>
                      </w:tcPr>
                      <w:p w14:paraId="504FFB42" w14:textId="77777777" w:rsidR="004B28EB" w:rsidRDefault="004B28EB">
                        <w:pPr>
                          <w:rPr>
                            <w:rFonts w:ascii="Tahoma" w:eastAsia="Times New Roman" w:hAnsi="Tahoma" w:cs="Tahoma"/>
                            <w:color w:val="303030"/>
                            <w:sz w:val="21"/>
                            <w:szCs w:val="21"/>
                          </w:rPr>
                        </w:pPr>
                      </w:p>
                    </w:tc>
                  </w:tr>
                  <w:tr w:rsidR="004B28EB" w14:paraId="14EE8C37" w14:textId="77777777">
                    <w:trPr>
                      <w:trHeight w:val="150"/>
                      <w:tblCellSpacing w:w="15" w:type="dxa"/>
                      <w:jc w:val="center"/>
                    </w:trPr>
                    <w:tc>
                      <w:tcPr>
                        <w:tcW w:w="150" w:type="dxa"/>
                        <w:vAlign w:val="center"/>
                        <w:hideMark/>
                      </w:tcPr>
                      <w:p w14:paraId="34722A43" w14:textId="77777777" w:rsidR="004B28EB" w:rsidRDefault="004B28EB">
                        <w:pPr>
                          <w:rPr>
                            <w:rFonts w:ascii="Times New Roman" w:eastAsia="Times New Roman" w:hAnsi="Times New Roman" w:cs="Times New Roman"/>
                            <w:sz w:val="20"/>
                            <w:szCs w:val="20"/>
                          </w:rPr>
                        </w:pPr>
                      </w:p>
                    </w:tc>
                    <w:tc>
                      <w:tcPr>
                        <w:tcW w:w="8700" w:type="dxa"/>
                        <w:vAlign w:val="center"/>
                        <w:hideMark/>
                      </w:tcPr>
                      <w:p w14:paraId="1ACC09EF" w14:textId="77777777" w:rsidR="004B28EB" w:rsidRDefault="004B28EB">
                        <w:pPr>
                          <w:rPr>
                            <w:rFonts w:ascii="Times New Roman" w:eastAsia="Times New Roman" w:hAnsi="Times New Roman" w:cs="Times New Roman"/>
                            <w:sz w:val="20"/>
                            <w:szCs w:val="20"/>
                          </w:rPr>
                        </w:pPr>
                      </w:p>
                    </w:tc>
                    <w:tc>
                      <w:tcPr>
                        <w:tcW w:w="150" w:type="dxa"/>
                        <w:vAlign w:val="center"/>
                        <w:hideMark/>
                      </w:tcPr>
                      <w:p w14:paraId="20A5D524" w14:textId="77777777" w:rsidR="004B28EB" w:rsidRDefault="004B28EB">
                        <w:pPr>
                          <w:rPr>
                            <w:rFonts w:ascii="Times New Roman" w:eastAsia="Times New Roman" w:hAnsi="Times New Roman" w:cs="Times New Roman"/>
                            <w:sz w:val="20"/>
                            <w:szCs w:val="20"/>
                          </w:rPr>
                        </w:pPr>
                      </w:p>
                    </w:tc>
                  </w:tr>
                </w:tbl>
                <w:p w14:paraId="1E85CE0F" w14:textId="77777777" w:rsidR="004B28EB" w:rsidRDefault="004B28EB">
                  <w:pPr>
                    <w:jc w:val="center"/>
                    <w:rPr>
                      <w:rFonts w:ascii="Times New Roman" w:eastAsia="Times New Roman" w:hAnsi="Times New Roman" w:cs="Times New Roman"/>
                      <w:sz w:val="20"/>
                      <w:szCs w:val="20"/>
                    </w:rPr>
                  </w:pPr>
                </w:p>
              </w:tc>
            </w:tr>
          </w:tbl>
          <w:p w14:paraId="1B108DDD" w14:textId="77777777" w:rsidR="004B28EB" w:rsidRDefault="004B28EB">
            <w:pPr>
              <w:jc w:val="center"/>
              <w:rPr>
                <w:rFonts w:ascii="Times New Roman" w:eastAsia="Times New Roman" w:hAnsi="Times New Roman" w:cs="Times New Roman"/>
                <w:sz w:val="20"/>
                <w:szCs w:val="20"/>
              </w:rPr>
            </w:pPr>
          </w:p>
        </w:tc>
      </w:tr>
      <w:tr w:rsidR="004B28EB" w14:paraId="59FA7B15" w14:textId="77777777" w:rsidTr="004B28EB">
        <w:trPr>
          <w:tblCellSpacing w:w="0" w:type="dxa"/>
          <w:jc w:val="center"/>
        </w:trPr>
        <w:tc>
          <w:tcPr>
            <w:tcW w:w="0" w:type="auto"/>
            <w:shd w:val="clear" w:color="auto" w:fill="FFFFFF"/>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4B28EB" w14:paraId="4E1B6BE3"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4B28EB" w14:paraId="48F0CB5F" w14:textId="77777777">
                    <w:trPr>
                      <w:tblCellSpacing w:w="0" w:type="dxa"/>
                      <w:jc w:val="center"/>
                    </w:trPr>
                    <w:tc>
                      <w:tcPr>
                        <w:tcW w:w="3000" w:type="dxa"/>
                        <w:tcMar>
                          <w:top w:w="30" w:type="dxa"/>
                          <w:left w:w="75" w:type="dxa"/>
                          <w:bottom w:w="30" w:type="dxa"/>
                          <w:right w:w="75" w:type="dxa"/>
                        </w:tcMar>
                        <w:hideMark/>
                      </w:tcPr>
                      <w:p w14:paraId="54336D07" w14:textId="77777777" w:rsidR="004B28EB" w:rsidRDefault="004B28EB">
                        <w:pPr>
                          <w:pStyle w:val="Heading4"/>
                          <w:jc w:val="center"/>
                          <w:rPr>
                            <w:rFonts w:ascii="Tahoma" w:eastAsia="Times New Roman" w:hAnsi="Tahoma" w:cs="Tahoma"/>
                          </w:rPr>
                        </w:pPr>
                        <w:r>
                          <w:rPr>
                            <w:rFonts w:eastAsia="Times New Roman"/>
                          </w:rPr>
                          <w:lastRenderedPageBreak/>
                          <w:t>Pharmaceutical Services Negotiating Committee</w:t>
                        </w:r>
                      </w:p>
                      <w:p w14:paraId="53EA8899" w14:textId="260B2202" w:rsidR="004B28EB" w:rsidRDefault="004B28EB">
                        <w:pPr>
                          <w:jc w:val="center"/>
                          <w:rPr>
                            <w:rFonts w:ascii="Tahoma" w:eastAsia="Times New Roman" w:hAnsi="Tahoma" w:cs="Tahoma"/>
                            <w:color w:val="FFFFFF"/>
                            <w:sz w:val="18"/>
                            <w:szCs w:val="18"/>
                          </w:rPr>
                        </w:pPr>
                        <w:r>
                          <w:rPr>
                            <w:rFonts w:ascii="Tahoma" w:eastAsia="Times New Roman" w:hAnsi="Tahoma" w:cs="Tahoma"/>
                            <w:b/>
                            <w:bCs/>
                            <w:noProof/>
                            <w:color w:val="FFFFFF"/>
                            <w:sz w:val="18"/>
                            <w:szCs w:val="18"/>
                          </w:rPr>
                          <w:drawing>
                            <wp:inline distT="0" distB="0" distL="0" distR="0" wp14:anchorId="21C9E3BD" wp14:editId="280013FA">
                              <wp:extent cx="609600" cy="304800"/>
                              <wp:effectExtent l="0" t="0" r="0" b="0"/>
                              <wp:docPr id="6" name="Picture 6">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bCs/>
                            <w:noProof/>
                            <w:color w:val="FFFFFF"/>
                            <w:sz w:val="18"/>
                            <w:szCs w:val="18"/>
                          </w:rPr>
                          <w:drawing>
                            <wp:inline distT="0" distB="0" distL="0" distR="0" wp14:anchorId="59328BD2" wp14:editId="5E469CE9">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bCs/>
                            <w:noProof/>
                            <w:color w:val="FFFFFF"/>
                            <w:sz w:val="18"/>
                            <w:szCs w:val="18"/>
                          </w:rPr>
                          <w:drawing>
                            <wp:inline distT="0" distB="0" distL="0" distR="0" wp14:anchorId="032AE00B" wp14:editId="4BF09F1C">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bCs/>
                            <w:noProof/>
                            <w:color w:val="FFFFFF"/>
                            <w:sz w:val="18"/>
                            <w:szCs w:val="18"/>
                          </w:rPr>
                          <w:drawing>
                            <wp:inline distT="0" distB="0" distL="0" distR="0" wp14:anchorId="1EE1B6ED" wp14:editId="6BC16F55">
                              <wp:extent cx="609600" cy="304800"/>
                              <wp:effectExtent l="0" t="0" r="0" b="0"/>
                              <wp:docPr id="3" name="Picture 3">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6787345D" w14:textId="77777777" w:rsidR="004B28EB" w:rsidRDefault="004B28EB">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0" w:tgtFrame="_blank" w:history="1">
                          <w:r w:rsidRPr="004B28EB">
                            <w:rPr>
                              <w:rStyle w:val="Hyperlink"/>
                              <w:rFonts w:eastAsia="Times New Roman"/>
                              <w:b/>
                              <w:bCs/>
                              <w:sz w:val="18"/>
                              <w:szCs w:val="18"/>
                            </w:rPr>
                            <w:t>info@psnc.org.uk</w:t>
                          </w:r>
                        </w:hyperlink>
                        <w:r>
                          <w:rPr>
                            <w:rFonts w:ascii="Tahoma" w:eastAsia="Times New Roman" w:hAnsi="Tahoma" w:cs="Tahoma"/>
                            <w:color w:val="FFFFFF"/>
                            <w:sz w:val="18"/>
                            <w:szCs w:val="18"/>
                          </w:rPr>
                          <w:t xml:space="preserve"> </w:t>
                        </w:r>
                      </w:p>
                    </w:tc>
                  </w:tr>
                  <w:tr w:rsidR="004B28EB" w14:paraId="788E3617" w14:textId="77777777" w:rsidTr="004B28EB">
                    <w:trPr>
                      <w:trHeight w:val="201"/>
                      <w:tblCellSpacing w:w="0" w:type="dxa"/>
                      <w:jc w:val="center"/>
                    </w:trPr>
                    <w:tc>
                      <w:tcPr>
                        <w:tcW w:w="9000" w:type="dxa"/>
                        <w:tcMar>
                          <w:top w:w="150" w:type="dxa"/>
                          <w:left w:w="0" w:type="dxa"/>
                          <w:bottom w:w="0" w:type="dxa"/>
                          <w:right w:w="0" w:type="dxa"/>
                        </w:tcMar>
                        <w:vAlign w:val="center"/>
                        <w:hideMark/>
                      </w:tcPr>
                      <w:p w14:paraId="58B6D174" w14:textId="5CDE47F9" w:rsidR="004B28EB" w:rsidRDefault="004B28EB" w:rsidP="004B28EB">
                        <w:pPr>
                          <w:rPr>
                            <w:rFonts w:ascii="Arial" w:eastAsia="Times New Roman" w:hAnsi="Arial" w:cs="Arial"/>
                            <w:color w:val="FFFFFF"/>
                            <w:sz w:val="17"/>
                            <w:szCs w:val="17"/>
                          </w:rPr>
                        </w:pPr>
                      </w:p>
                    </w:tc>
                  </w:tr>
                </w:tbl>
                <w:p w14:paraId="02BE003A" w14:textId="77777777" w:rsidR="004B28EB" w:rsidRDefault="004B28EB">
                  <w:pPr>
                    <w:jc w:val="center"/>
                    <w:rPr>
                      <w:rFonts w:ascii="Times New Roman" w:eastAsia="Times New Roman" w:hAnsi="Times New Roman" w:cs="Times New Roman"/>
                      <w:sz w:val="20"/>
                      <w:szCs w:val="20"/>
                    </w:rPr>
                  </w:pPr>
                </w:p>
              </w:tc>
            </w:tr>
          </w:tbl>
          <w:p w14:paraId="0D06D3DD" w14:textId="77777777" w:rsidR="004B28EB" w:rsidRDefault="004B28EB">
            <w:pPr>
              <w:jc w:val="center"/>
              <w:rPr>
                <w:rFonts w:ascii="Times New Roman" w:eastAsia="Times New Roman" w:hAnsi="Times New Roman" w:cs="Times New Roman"/>
                <w:sz w:val="20"/>
                <w:szCs w:val="20"/>
              </w:rPr>
            </w:pPr>
          </w:p>
        </w:tc>
      </w:tr>
    </w:tbl>
    <w:p w14:paraId="3F285AC9"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8EB"/>
    <w:rsid w:val="004B28EB"/>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C9810"/>
  <w15:chartTrackingRefBased/>
  <w15:docId w15:val="{8DD03AFD-EB3D-4E7E-92AA-0FB2104AB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8EB"/>
    <w:rPr>
      <w:rFonts w:ascii="Calibri" w:hAnsi="Calibri" w:cs="Calibri"/>
      <w:lang w:eastAsia="en-GB"/>
    </w:rPr>
  </w:style>
  <w:style w:type="paragraph" w:styleId="Heading1">
    <w:name w:val="heading 1"/>
    <w:basedOn w:val="Normal"/>
    <w:link w:val="Heading1Char"/>
    <w:uiPriority w:val="9"/>
    <w:qFormat/>
    <w:rsid w:val="004B28EB"/>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4B28EB"/>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4B28EB"/>
    <w:pPr>
      <w:spacing w:after="75" w:line="264" w:lineRule="auto"/>
      <w:outlineLvl w:val="2"/>
    </w:pPr>
    <w:rPr>
      <w:rFonts w:ascii="Tahoma" w:hAnsi="Tahoma" w:cs="Tahoma"/>
      <w:b/>
      <w:bCs/>
      <w:color w:val="4E3487"/>
      <w:sz w:val="27"/>
      <w:szCs w:val="27"/>
    </w:rPr>
  </w:style>
  <w:style w:type="paragraph" w:styleId="Heading4">
    <w:name w:val="heading 4"/>
    <w:basedOn w:val="Normal"/>
    <w:next w:val="Normal"/>
    <w:link w:val="Heading4Char"/>
    <w:uiPriority w:val="9"/>
    <w:semiHidden/>
    <w:unhideWhenUsed/>
    <w:qFormat/>
    <w:rsid w:val="004B28E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8EB"/>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4B28EB"/>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4B28EB"/>
    <w:rPr>
      <w:rFonts w:ascii="Tahoma" w:hAnsi="Tahoma" w:cs="Tahoma"/>
      <w:b/>
      <w:bCs/>
      <w:color w:val="4E3487"/>
      <w:sz w:val="27"/>
      <w:szCs w:val="27"/>
      <w:lang w:eastAsia="en-GB"/>
    </w:rPr>
  </w:style>
  <w:style w:type="paragraph" w:styleId="NormalWeb">
    <w:name w:val="Normal (Web)"/>
    <w:basedOn w:val="Normal"/>
    <w:uiPriority w:val="99"/>
    <w:semiHidden/>
    <w:unhideWhenUsed/>
    <w:rsid w:val="004B28EB"/>
    <w:pPr>
      <w:spacing w:before="100" w:beforeAutospacing="1" w:after="100" w:afterAutospacing="1"/>
    </w:pPr>
  </w:style>
  <w:style w:type="character" w:styleId="Strong">
    <w:name w:val="Strong"/>
    <w:basedOn w:val="DefaultParagraphFont"/>
    <w:uiPriority w:val="22"/>
    <w:qFormat/>
    <w:rsid w:val="004B28EB"/>
    <w:rPr>
      <w:b/>
      <w:bCs/>
    </w:rPr>
  </w:style>
  <w:style w:type="character" w:styleId="Hyperlink">
    <w:name w:val="Hyperlink"/>
    <w:basedOn w:val="DefaultParagraphFont"/>
    <w:uiPriority w:val="99"/>
    <w:unhideWhenUsed/>
    <w:rsid w:val="004B28EB"/>
    <w:rPr>
      <w:color w:val="0000FF"/>
      <w:u w:val="single"/>
    </w:rPr>
  </w:style>
  <w:style w:type="character" w:customStyle="1" w:styleId="Heading4Char">
    <w:name w:val="Heading 4 Char"/>
    <w:basedOn w:val="DefaultParagraphFont"/>
    <w:link w:val="Heading4"/>
    <w:uiPriority w:val="9"/>
    <w:semiHidden/>
    <w:rsid w:val="004B28EB"/>
    <w:rPr>
      <w:rFonts w:asciiTheme="majorHAnsi" w:eastAsiaTheme="majorEastAsia" w:hAnsiTheme="majorHAnsi" w:cstheme="majorBidi"/>
      <w:i/>
      <w:iCs/>
      <w:color w:val="2F5496" w:themeColor="accent1" w:themeShade="BF"/>
      <w:lang w:eastAsia="en-GB"/>
    </w:rPr>
  </w:style>
  <w:style w:type="character" w:styleId="UnresolvedMention">
    <w:name w:val="Unresolved Mention"/>
    <w:basedOn w:val="DefaultParagraphFont"/>
    <w:uiPriority w:val="99"/>
    <w:semiHidden/>
    <w:unhideWhenUsed/>
    <w:rsid w:val="004B2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724259">
      <w:bodyDiv w:val="1"/>
      <w:marLeft w:val="0"/>
      <w:marRight w:val="0"/>
      <w:marTop w:val="0"/>
      <w:marBottom w:val="0"/>
      <w:divBdr>
        <w:top w:val="none" w:sz="0" w:space="0" w:color="auto"/>
        <w:left w:val="none" w:sz="0" w:space="0" w:color="auto"/>
        <w:bottom w:val="none" w:sz="0" w:space="0" w:color="auto"/>
        <w:right w:val="none" w:sz="0" w:space="0" w:color="auto"/>
      </w:divBdr>
    </w:div>
    <w:div w:id="52181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a480ddddb3&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e93797fbf0&amp;e=d19e9fd41c"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psnc.us7.list-manage.com/track/click?u=86d41ab7fa4c7c2c5d7210782&amp;id=6a095b0c5d&amp;e=d19e9fd41c" TargetMode="External"/><Relationship Id="rId12" Type="http://schemas.openxmlformats.org/officeDocument/2006/relationships/hyperlink" Target="https://psnc.us7.list-manage.com/track/click?u=86d41ab7fa4c7c2c5d7210782&amp;id=668d3a34f5&amp;e=d19e9fd41c" TargetMode="External"/><Relationship Id="rId17"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hyperlink" Target="https://psnc.us7.list-manage.com/track/click?u=86d41ab7fa4c7c2c5d7210782&amp;id=efa94cf935&amp;e=d19e9fd41c" TargetMode="External"/><Relationship Id="rId20" Type="http://schemas.openxmlformats.org/officeDocument/2006/relationships/hyperlink" Target="mailto:info@psnc.org.uk" TargetMode="External"/><Relationship Id="rId1" Type="http://schemas.openxmlformats.org/officeDocument/2006/relationships/styles" Target="styles.xml"/><Relationship Id="rId6" Type="http://schemas.openxmlformats.org/officeDocument/2006/relationships/hyperlink" Target="https://psnc.us7.list-manage.com/track/click?u=86d41ab7fa4c7c2c5d7210782&amp;id=8b31fd40da&amp;e=d19e9fd41c" TargetMode="External"/><Relationship Id="rId11" Type="http://schemas.openxmlformats.org/officeDocument/2006/relationships/hyperlink" Target="https://psnc.us7.list-manage.com/track/click?u=86d41ab7fa4c7c2c5d7210782&amp;id=5593fd3a4f&amp;e=d19e9fd41c" TargetMode="External"/><Relationship Id="rId5" Type="http://schemas.openxmlformats.org/officeDocument/2006/relationships/image" Target="media/image2.png"/><Relationship Id="rId15" Type="http://schemas.openxmlformats.org/officeDocument/2006/relationships/image" Target="media/image4.png"/><Relationship Id="rId10" Type="http://schemas.openxmlformats.org/officeDocument/2006/relationships/hyperlink" Target="https://psnc.us7.list-manage.com/track/click?u=86d41ab7fa4c7c2c5d7210782&amp;id=a3c9440e37&amp;e=d19e9fd41c" TargetMode="External"/><Relationship Id="rId19" Type="http://schemas.openxmlformats.org/officeDocument/2006/relationships/image" Target="media/image6.png"/><Relationship Id="rId4" Type="http://schemas.openxmlformats.org/officeDocument/2006/relationships/image" Target="media/image1.jpeg"/><Relationship Id="rId9" Type="http://schemas.openxmlformats.org/officeDocument/2006/relationships/hyperlink" Target="https://psnc.us7.list-manage.com/track/click?u=86d41ab7fa4c7c2c5d7210782&amp;id=25d941f77d&amp;e=d19e9fd41c" TargetMode="External"/><Relationship Id="rId14" Type="http://schemas.openxmlformats.org/officeDocument/2006/relationships/hyperlink" Target="https://psnc.us7.list-manage.com/track/click?u=86d41ab7fa4c7c2c5d7210782&amp;id=f898d2eb35&amp;e=d19e9fd41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565</Words>
  <Characters>3224</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2021-09-08T08:20:00Z</dcterms:created>
  <dcterms:modified xsi:type="dcterms:W3CDTF">2021-09-08T08:23:00Z</dcterms:modified>
</cp:coreProperties>
</file>