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EEEEEE"/>
        <w:tblCellMar>
          <w:left w:w="0" w:type="dxa"/>
          <w:right w:w="0" w:type="dxa"/>
        </w:tblCellMar>
        <w:tblLook w:val="04A0" w:firstRow="1" w:lastRow="0" w:firstColumn="1" w:lastColumn="0" w:noHBand="0" w:noVBand="1"/>
      </w:tblPr>
      <w:tblGrid>
        <w:gridCol w:w="9026"/>
      </w:tblGrid>
      <w:tr w:rsidR="005B3E7E" w14:paraId="6C6CD663" w14:textId="77777777" w:rsidTr="005B3E7E">
        <w:trPr>
          <w:tblCellSpacing w:w="0" w:type="dxa"/>
          <w:jc w:val="center"/>
        </w:trPr>
        <w:tc>
          <w:tcPr>
            <w:tcW w:w="0" w:type="auto"/>
            <w:shd w:val="clear" w:color="auto" w:fill="EEEEEE"/>
          </w:tcPr>
          <w:tbl>
            <w:tblPr>
              <w:tblW w:w="5000" w:type="pct"/>
              <w:jc w:val="center"/>
              <w:tblCellSpacing w:w="0" w:type="dxa"/>
              <w:shd w:val="clear" w:color="auto" w:fill="4E3487"/>
              <w:tblLook w:val="04A0" w:firstRow="1" w:lastRow="0" w:firstColumn="1" w:lastColumn="0" w:noHBand="0" w:noVBand="1"/>
            </w:tblPr>
            <w:tblGrid>
              <w:gridCol w:w="9026"/>
            </w:tblGrid>
            <w:tr w:rsidR="005B3E7E" w14:paraId="5E164FE9" w14:textId="77777777" w:rsidTr="001E2BA4">
              <w:trPr>
                <w:tblCellSpacing w:w="0" w:type="dxa"/>
                <w:jc w:val="center"/>
              </w:trPr>
              <w:tc>
                <w:tcPr>
                  <w:tcW w:w="9026" w:type="dxa"/>
                  <w:shd w:val="clear" w:color="auto" w:fill="4E3487"/>
                  <w:tcMar>
                    <w:top w:w="15" w:type="dxa"/>
                    <w:left w:w="15" w:type="dxa"/>
                    <w:bottom w:w="15" w:type="dxa"/>
                    <w:right w:w="15" w:type="dxa"/>
                  </w:tcMar>
                  <w:hideMark/>
                </w:tcPr>
                <w:p w14:paraId="3EB5C368" w14:textId="2BE0A868" w:rsidR="005B3E7E" w:rsidRDefault="0025485B" w:rsidP="0025485B">
                  <w:pPr>
                    <w:spacing w:line="264" w:lineRule="auto"/>
                    <w:rPr>
                      <w:rFonts w:ascii="Arial" w:eastAsia="Times New Roman" w:hAnsi="Arial" w:cs="Arial"/>
                      <w:color w:val="FFFFFF"/>
                      <w:sz w:val="18"/>
                      <w:szCs w:val="18"/>
                    </w:rPr>
                  </w:pPr>
                  <w:r>
                    <w:rPr>
                      <w:rFonts w:ascii="Arial" w:eastAsia="Times New Roman" w:hAnsi="Arial" w:cs="Arial"/>
                      <w:color w:val="FFFFFF"/>
                      <w:sz w:val="18"/>
                      <w:szCs w:val="18"/>
                    </w:rPr>
                    <w:t xml:space="preserve"> </w:t>
                  </w:r>
                </w:p>
              </w:tc>
            </w:tr>
            <w:tr w:rsidR="005B3E7E" w14:paraId="7DBB4C2F" w14:textId="77777777" w:rsidTr="001E2BA4">
              <w:tblPrEx>
                <w:shd w:val="clear" w:color="auto" w:fill="auto"/>
                <w:tblCellMar>
                  <w:left w:w="0" w:type="dxa"/>
                  <w:right w:w="0" w:type="dxa"/>
                </w:tblCellMar>
              </w:tblPrEx>
              <w:trPr>
                <w:tblCellSpacing w:w="0" w:type="dxa"/>
                <w:jc w:val="center"/>
              </w:trPr>
              <w:tc>
                <w:tcPr>
                  <w:tcW w:w="0" w:type="auto"/>
                  <w:shd w:val="clear" w:color="auto" w:fill="FFFFFF"/>
                  <w:tcMar>
                    <w:top w:w="75" w:type="dxa"/>
                    <w:left w:w="0" w:type="dxa"/>
                    <w:bottom w:w="75" w:type="dxa"/>
                    <w:right w:w="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7055"/>
                    <w:gridCol w:w="1971"/>
                  </w:tblGrid>
                  <w:tr w:rsidR="005B3E7E" w14:paraId="28364143" w14:textId="77777777">
                    <w:trPr>
                      <w:tblCellSpacing w:w="0" w:type="dxa"/>
                      <w:jc w:val="center"/>
                    </w:trPr>
                    <w:tc>
                      <w:tcPr>
                        <w:tcW w:w="0" w:type="auto"/>
                        <w:vMerge w:val="restart"/>
                        <w:tcMar>
                          <w:top w:w="0" w:type="dxa"/>
                          <w:left w:w="300" w:type="dxa"/>
                          <w:bottom w:w="0" w:type="dxa"/>
                          <w:right w:w="0" w:type="dxa"/>
                        </w:tcMar>
                        <w:vAlign w:val="center"/>
                        <w:hideMark/>
                      </w:tcPr>
                      <w:p w14:paraId="5D31AD28" w14:textId="77777777" w:rsidR="005B3E7E" w:rsidRDefault="005B3E7E">
                        <w:pPr>
                          <w:pStyle w:val="Heading1"/>
                          <w:rPr>
                            <w:rFonts w:eastAsia="Times New Roman"/>
                          </w:rPr>
                        </w:pPr>
                        <w:r w:rsidRPr="004A5D3A">
                          <w:rPr>
                            <w:rFonts w:eastAsia="Times New Roman"/>
                            <w:sz w:val="56"/>
                            <w:szCs w:val="56"/>
                          </w:rPr>
                          <w:t>Pharmacy Commissioning</w:t>
                        </w:r>
                      </w:p>
                    </w:tc>
                    <w:tc>
                      <w:tcPr>
                        <w:tcW w:w="0" w:type="auto"/>
                        <w:tcMar>
                          <w:top w:w="0" w:type="dxa"/>
                          <w:left w:w="0" w:type="dxa"/>
                          <w:bottom w:w="0" w:type="dxa"/>
                          <w:right w:w="300" w:type="dxa"/>
                        </w:tcMar>
                        <w:vAlign w:val="center"/>
                        <w:hideMark/>
                      </w:tcPr>
                      <w:p w14:paraId="55CCADD9" w14:textId="40CEE26B" w:rsidR="005B3E7E" w:rsidRDefault="005B3E7E">
                        <w:pPr>
                          <w:rPr>
                            <w:rFonts w:eastAsia="Times New Roman"/>
                          </w:rPr>
                        </w:pPr>
                      </w:p>
                    </w:tc>
                  </w:tr>
                  <w:tr w:rsidR="005B3E7E" w14:paraId="13A6CBEB" w14:textId="77777777">
                    <w:trPr>
                      <w:tblCellSpacing w:w="0" w:type="dxa"/>
                      <w:jc w:val="center"/>
                    </w:trPr>
                    <w:tc>
                      <w:tcPr>
                        <w:tcW w:w="0" w:type="auto"/>
                        <w:vMerge/>
                        <w:vAlign w:val="center"/>
                        <w:hideMark/>
                      </w:tcPr>
                      <w:p w14:paraId="4472829A" w14:textId="77777777" w:rsidR="005B3E7E" w:rsidRDefault="005B3E7E">
                        <w:pPr>
                          <w:rPr>
                            <w:rFonts w:ascii="Helvetica" w:eastAsia="Times New Roman" w:hAnsi="Helvetica" w:cs="Helvetica"/>
                            <w:b/>
                            <w:bCs/>
                            <w:color w:val="4E3487"/>
                            <w:kern w:val="36"/>
                            <w:sz w:val="81"/>
                            <w:szCs w:val="81"/>
                          </w:rPr>
                        </w:pPr>
                      </w:p>
                    </w:tc>
                    <w:tc>
                      <w:tcPr>
                        <w:tcW w:w="0" w:type="auto"/>
                        <w:tcMar>
                          <w:top w:w="0" w:type="dxa"/>
                          <w:left w:w="0" w:type="dxa"/>
                          <w:bottom w:w="0" w:type="dxa"/>
                          <w:right w:w="300" w:type="dxa"/>
                        </w:tcMar>
                        <w:vAlign w:val="center"/>
                        <w:hideMark/>
                      </w:tcPr>
                      <w:p w14:paraId="780930EC" w14:textId="477166A4" w:rsidR="005B3E7E" w:rsidRDefault="005B3E7E">
                        <w:pPr>
                          <w:rPr>
                            <w:rFonts w:eastAsia="Times New Roman"/>
                          </w:rPr>
                        </w:pPr>
                        <w:r>
                          <w:rPr>
                            <w:rFonts w:eastAsia="Times New Roman"/>
                            <w:noProof/>
                          </w:rPr>
                          <w:drawing>
                            <wp:inline distT="0" distB="0" distL="0" distR="0" wp14:anchorId="4D71B11A" wp14:editId="361B113F">
                              <wp:extent cx="1066800" cy="762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066800" cy="762000"/>
                                      </a:xfrm>
                                      <a:prstGeom prst="rect">
                                        <a:avLst/>
                                      </a:prstGeom>
                                      <a:noFill/>
                                      <a:ln>
                                        <a:noFill/>
                                      </a:ln>
                                    </pic:spPr>
                                  </pic:pic>
                                </a:graphicData>
                              </a:graphic>
                            </wp:inline>
                          </w:drawing>
                        </w:r>
                      </w:p>
                    </w:tc>
                  </w:tr>
                  <w:tr w:rsidR="005B3E7E" w14:paraId="1FB90BF2" w14:textId="77777777">
                    <w:trPr>
                      <w:tblCellSpacing w:w="0" w:type="dxa"/>
                      <w:jc w:val="center"/>
                    </w:trPr>
                    <w:tc>
                      <w:tcPr>
                        <w:tcW w:w="0" w:type="auto"/>
                        <w:gridSpan w:val="2"/>
                      </w:tcPr>
                      <w:tbl>
                        <w:tblPr>
                          <w:tblW w:w="9072" w:type="dxa"/>
                          <w:tblCellSpacing w:w="0" w:type="dxa"/>
                          <w:tblCellMar>
                            <w:left w:w="0" w:type="dxa"/>
                            <w:right w:w="0" w:type="dxa"/>
                          </w:tblCellMar>
                          <w:tblLook w:val="04A0" w:firstRow="1" w:lastRow="0" w:firstColumn="1" w:lastColumn="0" w:noHBand="0" w:noVBand="1"/>
                        </w:tblPr>
                        <w:tblGrid>
                          <w:gridCol w:w="9027"/>
                          <w:gridCol w:w="45"/>
                        </w:tblGrid>
                        <w:tr w:rsidR="005B3E7E" w14:paraId="1E794344" w14:textId="77777777" w:rsidTr="004A5D3A">
                          <w:trPr>
                            <w:gridAfter w:val="1"/>
                            <w:wAfter w:w="25" w:type="pct"/>
                            <w:tblCellSpacing w:w="0" w:type="dxa"/>
                          </w:trPr>
                          <w:tc>
                            <w:tcPr>
                              <w:tcW w:w="0" w:type="auto"/>
                              <w:tcMar>
                                <w:top w:w="75" w:type="dxa"/>
                                <w:left w:w="0" w:type="dxa"/>
                                <w:bottom w:w="0" w:type="dxa"/>
                                <w:right w:w="0" w:type="dxa"/>
                              </w:tcMar>
                              <w:hideMark/>
                            </w:tcPr>
                            <w:p w14:paraId="00E9A55B" w14:textId="77777777" w:rsidR="005B3E7E" w:rsidRDefault="005B3E7E">
                              <w:pPr>
                                <w:rPr>
                                  <w:rFonts w:eastAsia="Times New Roman"/>
                                </w:rPr>
                              </w:pPr>
                            </w:p>
                          </w:tc>
                        </w:tr>
                        <w:tr w:rsidR="005B3E7E" w14:paraId="4B67542C" w14:textId="77777777" w:rsidTr="004A5D3A">
                          <w:trPr>
                            <w:gridAfter w:val="1"/>
                            <w:wAfter w:w="25" w:type="pct"/>
                            <w:tblCellSpacing w:w="0" w:type="dxa"/>
                          </w:trPr>
                          <w:tc>
                            <w:tcPr>
                              <w:tcW w:w="0" w:type="auto"/>
                              <w:tcMar>
                                <w:top w:w="0" w:type="dxa"/>
                                <w:left w:w="300" w:type="dxa"/>
                                <w:bottom w:w="0" w:type="dxa"/>
                                <w:right w:w="0" w:type="dxa"/>
                              </w:tcMar>
                              <w:vAlign w:val="center"/>
                              <w:hideMark/>
                            </w:tcPr>
                            <w:p w14:paraId="2D164BD1" w14:textId="77777777" w:rsidR="005B3E7E" w:rsidRDefault="005B3E7E">
                              <w:pPr>
                                <w:pStyle w:val="Heading2"/>
                                <w:rPr>
                                  <w:rFonts w:eastAsia="Times New Roman"/>
                                </w:rPr>
                              </w:pPr>
                              <w:r>
                                <w:rPr>
                                  <w:rFonts w:eastAsia="Times New Roman"/>
                                </w:rPr>
                                <w:t>27th August 2021</w:t>
                              </w:r>
                            </w:p>
                          </w:tc>
                        </w:tr>
                        <w:tr w:rsidR="001E2BA4" w14:paraId="64CE513D" w14:textId="77777777" w:rsidTr="004A5D3A">
                          <w:tblPrEx>
                            <w:shd w:val="clear" w:color="auto" w:fill="4E3487"/>
                          </w:tblPrEx>
                          <w:trPr>
                            <w:trHeight w:val="103"/>
                            <w:tblCellSpacing w:w="0" w:type="dxa"/>
                          </w:trPr>
                          <w:tc>
                            <w:tcPr>
                              <w:tcW w:w="5000" w:type="pct"/>
                              <w:gridSpan w:val="2"/>
                              <w:shd w:val="clear" w:color="auto" w:fill="4E3487"/>
                              <w:tcMar>
                                <w:top w:w="150" w:type="dxa"/>
                                <w:left w:w="300" w:type="dxa"/>
                                <w:bottom w:w="150" w:type="dxa"/>
                                <w:right w:w="300" w:type="dxa"/>
                              </w:tcMar>
                              <w:hideMark/>
                            </w:tcPr>
                            <w:p w14:paraId="70F026A7" w14:textId="77777777" w:rsidR="001E2BA4" w:rsidRDefault="001E2BA4">
                              <w:pPr>
                                <w:rPr>
                                  <w:rFonts w:ascii="Times New Roman" w:eastAsia="Times New Roman" w:hAnsi="Times New Roman" w:cs="Times New Roman"/>
                                  <w:sz w:val="20"/>
                                  <w:szCs w:val="20"/>
                                </w:rPr>
                              </w:pPr>
                            </w:p>
                          </w:tc>
                        </w:tr>
                      </w:tbl>
                      <w:p w14:paraId="5A0F8047" w14:textId="77777777" w:rsidR="005B3E7E" w:rsidRDefault="005B3E7E">
                        <w:pPr>
                          <w:rPr>
                            <w:rFonts w:ascii="Times New Roman" w:eastAsia="Times New Roman" w:hAnsi="Times New Roman" w:cs="Times New Roman"/>
                            <w:sz w:val="20"/>
                            <w:szCs w:val="20"/>
                          </w:rPr>
                        </w:pPr>
                      </w:p>
                    </w:tc>
                  </w:tr>
                </w:tbl>
                <w:p w14:paraId="190C08D3" w14:textId="77777777" w:rsidR="005B3E7E" w:rsidRDefault="005B3E7E">
                  <w:pPr>
                    <w:jc w:val="center"/>
                    <w:rPr>
                      <w:rFonts w:ascii="Times New Roman" w:eastAsia="Times New Roman" w:hAnsi="Times New Roman" w:cs="Times New Roman"/>
                      <w:sz w:val="20"/>
                      <w:szCs w:val="20"/>
                    </w:rPr>
                  </w:pPr>
                </w:p>
              </w:tc>
            </w:tr>
            <w:tr w:rsidR="005B3E7E" w14:paraId="24236A0F" w14:textId="77777777" w:rsidTr="001E2BA4">
              <w:tblPrEx>
                <w:shd w:val="clear" w:color="auto" w:fill="auto"/>
                <w:tblCellMar>
                  <w:left w:w="0" w:type="dxa"/>
                  <w:right w:w="0" w:type="dxa"/>
                </w:tblCellMar>
              </w:tblPrEx>
              <w:trPr>
                <w:tblCellSpacing w:w="0" w:type="dxa"/>
                <w:jc w:val="center"/>
              </w:trPr>
              <w:tc>
                <w:tcPr>
                  <w:tcW w:w="0" w:type="auto"/>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5B3E7E" w14:paraId="59C9DB11" w14:textId="77777777">
                    <w:trPr>
                      <w:tblCellSpacing w:w="0" w:type="dxa"/>
                      <w:jc w:val="center"/>
                    </w:trPr>
                    <w:tc>
                      <w:tcPr>
                        <w:tcW w:w="0" w:type="auto"/>
                        <w:shd w:val="clear" w:color="auto" w:fill="FFFFFF"/>
                        <w:tcMar>
                          <w:top w:w="150" w:type="dxa"/>
                          <w:left w:w="300" w:type="dxa"/>
                          <w:bottom w:w="150" w:type="dxa"/>
                          <w:right w:w="300" w:type="dxa"/>
                        </w:tcMar>
                        <w:hideMark/>
                      </w:tcPr>
                      <w:tbl>
                        <w:tblPr>
                          <w:tblW w:w="8400" w:type="dxa"/>
                          <w:jc w:val="center"/>
                          <w:tblCellSpacing w:w="0" w:type="dxa"/>
                          <w:tblCellMar>
                            <w:left w:w="0" w:type="dxa"/>
                            <w:right w:w="0" w:type="dxa"/>
                          </w:tblCellMar>
                          <w:tblLook w:val="04A0" w:firstRow="1" w:lastRow="0" w:firstColumn="1" w:lastColumn="0" w:noHBand="0" w:noVBand="1"/>
                        </w:tblPr>
                        <w:tblGrid>
                          <w:gridCol w:w="8426"/>
                        </w:tblGrid>
                        <w:tr w:rsidR="005B3E7E" w14:paraId="1470CCE7" w14:textId="77777777">
                          <w:trPr>
                            <w:tblCellSpacing w:w="0" w:type="dxa"/>
                            <w:jc w:val="center"/>
                          </w:trPr>
                          <w:tc>
                            <w:tcPr>
                              <w:tcW w:w="0" w:type="auto"/>
                              <w:tcBorders>
                                <w:top w:val="nil"/>
                                <w:left w:val="nil"/>
                                <w:bottom w:val="single" w:sz="6" w:space="0" w:color="CCCCCC"/>
                                <w:right w:val="nil"/>
                              </w:tcBorders>
                              <w:tcMar>
                                <w:top w:w="0" w:type="dxa"/>
                                <w:left w:w="0" w:type="dxa"/>
                                <w:bottom w:w="300" w:type="dxa"/>
                                <w:right w:w="0" w:type="dxa"/>
                              </w:tcMar>
                              <w:hideMark/>
                            </w:tcPr>
                            <w:p w14:paraId="1BA83D83" w14:textId="5385ACE9" w:rsidR="005B3E7E" w:rsidRDefault="005B3E7E" w:rsidP="001E2BA4">
                              <w:pPr>
                                <w:pStyle w:val="Heading2"/>
                                <w:rPr>
                                  <w:rFonts w:eastAsia="Times New Roman"/>
                                </w:rPr>
                              </w:pPr>
                              <w:r>
                                <w:rPr>
                                  <w:rFonts w:eastAsia="Times New Roman"/>
                                </w:rPr>
                                <w:t> </w:t>
                              </w:r>
                              <w:r>
                                <w:rPr>
                                  <w:rStyle w:val="Strong"/>
                                  <w:rFonts w:eastAsia="Times New Roman"/>
                                  <w:b/>
                                  <w:bCs/>
                                  <w:color w:val="4B0082"/>
                                </w:rPr>
                                <w:t>CPCF arrangements for 2021/22 agreed </w:t>
                              </w:r>
                            </w:p>
                            <w:p w14:paraId="204C86FC" w14:textId="7BB6DFE0" w:rsidR="005B3E7E" w:rsidRDefault="005B3E7E" w:rsidP="001E2BA4">
                              <w:pPr>
                                <w:pStyle w:val="NormalWeb"/>
                                <w:spacing w:before="0" w:beforeAutospacing="0" w:after="0" w:afterAutospacing="0"/>
                                <w:rPr>
                                  <w:rFonts w:ascii="Helvetica" w:hAnsi="Helvetica" w:cs="Helvetica"/>
                                  <w:color w:val="303030"/>
                                  <w:sz w:val="23"/>
                                  <w:szCs w:val="23"/>
                                </w:rPr>
                              </w:pPr>
                              <w:r>
                                <w:rPr>
                                  <w:rFonts w:ascii="Helvetica" w:hAnsi="Helvetica" w:cs="Helvetica"/>
                                  <w:color w:val="303030"/>
                                  <w:sz w:val="23"/>
                                  <w:szCs w:val="23"/>
                                </w:rPr>
                                <w:t>Arrangements for the Community Pharmacy Contractual Framework (CPCF) in 2021/22 have been agreed between PSNC, NHS England and NHS Improvement (NHSE&amp;I) and the Department of Health and Social Care (DHSC), in line with the five-year CPCF deal.</w:t>
                              </w:r>
                            </w:p>
                            <w:p w14:paraId="31B7A0CB" w14:textId="77777777" w:rsidR="001E2BA4" w:rsidRDefault="001E2BA4" w:rsidP="001E2BA4">
                              <w:pPr>
                                <w:pStyle w:val="NormalWeb"/>
                                <w:spacing w:before="0" w:beforeAutospacing="0" w:after="0" w:afterAutospacing="0"/>
                                <w:rPr>
                                  <w:rFonts w:ascii="Helvetica" w:hAnsi="Helvetica" w:cs="Helvetica"/>
                                  <w:color w:val="303030"/>
                                  <w:sz w:val="23"/>
                                  <w:szCs w:val="23"/>
                                </w:rPr>
                              </w:pPr>
                            </w:p>
                            <w:p w14:paraId="32E33475" w14:textId="77777777" w:rsidR="005B3E7E" w:rsidRDefault="005B3E7E" w:rsidP="001E2BA4">
                              <w:pPr>
                                <w:pStyle w:val="NormalWeb"/>
                                <w:spacing w:before="0" w:beforeAutospacing="0" w:after="0" w:afterAutospacing="0"/>
                                <w:rPr>
                                  <w:rFonts w:ascii="Helvetica" w:hAnsi="Helvetica" w:cs="Helvetica"/>
                                  <w:color w:val="303030"/>
                                  <w:sz w:val="23"/>
                                  <w:szCs w:val="23"/>
                                </w:rPr>
                              </w:pPr>
                              <w:r>
                                <w:rPr>
                                  <w:rFonts w:ascii="Helvetica" w:hAnsi="Helvetica" w:cs="Helvetica"/>
                                  <w:color w:val="303030"/>
                                  <w:sz w:val="23"/>
                                  <w:szCs w:val="23"/>
                                </w:rPr>
                                <w:t xml:space="preserve">This follows an intensive period of negotiations, lasting around three months. During this time, PSNC's Negotiating Team fought hard to gain concessions on </w:t>
                              </w:r>
                              <w:proofErr w:type="gramStart"/>
                              <w:r>
                                <w:rPr>
                                  <w:rFonts w:ascii="Helvetica" w:hAnsi="Helvetica" w:cs="Helvetica"/>
                                  <w:color w:val="303030"/>
                                  <w:sz w:val="23"/>
                                  <w:szCs w:val="23"/>
                                </w:rPr>
                                <w:t>a number of</w:t>
                              </w:r>
                              <w:proofErr w:type="gramEnd"/>
                              <w:r>
                                <w:rPr>
                                  <w:rFonts w:ascii="Helvetica" w:hAnsi="Helvetica" w:cs="Helvetica"/>
                                  <w:color w:val="303030"/>
                                  <w:sz w:val="23"/>
                                  <w:szCs w:val="23"/>
                                </w:rPr>
                                <w:t xml:space="preserve"> key issues, all with the backing of the full Committee who eventually voted to accept the deal by an overwhelming majority.</w:t>
                              </w:r>
                            </w:p>
                            <w:p w14:paraId="51604E36" w14:textId="77777777" w:rsidR="005B3E7E" w:rsidRDefault="005B3E7E" w:rsidP="002D3EB2">
                              <w:pPr>
                                <w:pStyle w:val="NormalWeb"/>
                                <w:spacing w:line="264" w:lineRule="auto"/>
                                <w:rPr>
                                  <w:rFonts w:ascii="Helvetica" w:hAnsi="Helvetica" w:cs="Helvetica"/>
                                  <w:color w:val="303030"/>
                                  <w:sz w:val="23"/>
                                  <w:szCs w:val="23"/>
                                </w:rPr>
                              </w:pPr>
                              <w:hyperlink r:id="rId6" w:tgtFrame="_blank" w:history="1">
                                <w:r>
                                  <w:rPr>
                                    <w:rStyle w:val="Hyperlink"/>
                                    <w:rFonts w:ascii="Helvetica" w:hAnsi="Helvetica" w:cs="Helvetica"/>
                                    <w:b/>
                                    <w:bCs/>
                                    <w:color w:val="4E3487"/>
                                    <w:sz w:val="23"/>
                                    <w:szCs w:val="23"/>
                                  </w:rPr>
                                  <w:t>Find out more about the CPCF for 2021/22</w:t>
                                </w:r>
                              </w:hyperlink>
                            </w:p>
                            <w:p w14:paraId="76A5420F" w14:textId="77777777" w:rsidR="005B3E7E" w:rsidRDefault="005B3E7E" w:rsidP="001E2BA4">
                              <w:pPr>
                                <w:spacing w:line="264" w:lineRule="auto"/>
                                <w:rPr>
                                  <w:rFonts w:ascii="Helvetica" w:eastAsia="Times New Roman" w:hAnsi="Helvetica" w:cs="Helvetica"/>
                                  <w:color w:val="303030"/>
                                  <w:sz w:val="23"/>
                                  <w:szCs w:val="23"/>
                                </w:rPr>
                              </w:pPr>
                              <w:r>
                                <w:rPr>
                                  <w:rFonts w:ascii="Helvetica" w:eastAsia="Times New Roman" w:hAnsi="Helvetica" w:cs="Helvetica"/>
                                  <w:color w:val="303030"/>
                                  <w:sz w:val="23"/>
                                  <w:szCs w:val="23"/>
                                </w:rPr>
                                <w:pict w14:anchorId="5D63CC66">
                                  <v:rect id="_x0000_i1032" style="width:468pt;height:1.5pt" o:hrstd="t" o:hr="t" fillcolor="#a0a0a0" stroked="f"/>
                                </w:pict>
                              </w:r>
                            </w:p>
                            <w:p w14:paraId="18D840C3" w14:textId="16F6A77A" w:rsidR="005B3E7E" w:rsidRDefault="005B3E7E" w:rsidP="001E2BA4">
                              <w:pPr>
                                <w:pStyle w:val="Heading3"/>
                                <w:rPr>
                                  <w:rFonts w:eastAsia="Times New Roman"/>
                                </w:rPr>
                              </w:pPr>
                              <w:r>
                                <w:rPr>
                                  <w:rFonts w:eastAsia="Times New Roman"/>
                                </w:rPr>
                                <w:t> </w:t>
                              </w:r>
                              <w:r w:rsidRPr="001E2BA4">
                                <w:rPr>
                                  <w:sz w:val="32"/>
                                  <w:szCs w:val="32"/>
                                </w:rPr>
                                <w:t>Expansion of the New Medicine Service</w:t>
                              </w:r>
                              <w:r>
                                <w:rPr>
                                  <w:rStyle w:val="Strong"/>
                                  <w:rFonts w:eastAsia="Times New Roman"/>
                                  <w:b/>
                                  <w:bCs/>
                                  <w:color w:val="4B0082"/>
                                </w:rPr>
                                <w:t> </w:t>
                              </w:r>
                            </w:p>
                            <w:p w14:paraId="3B393A07" w14:textId="77777777" w:rsidR="005B3E7E" w:rsidRDefault="005B3E7E" w:rsidP="001E2BA4">
                              <w:pPr>
                                <w:spacing w:line="264" w:lineRule="auto"/>
                                <w:rPr>
                                  <w:rFonts w:ascii="Helvetica" w:eastAsia="Times New Roman" w:hAnsi="Helvetica" w:cs="Helvetica"/>
                                  <w:color w:val="303030"/>
                                  <w:sz w:val="23"/>
                                  <w:szCs w:val="23"/>
                                </w:rPr>
                              </w:pPr>
                              <w:r>
                                <w:rPr>
                                  <w:rFonts w:ascii="Helvetica" w:eastAsia="Times New Roman" w:hAnsi="Helvetica" w:cs="Helvetica"/>
                                  <w:color w:val="303030"/>
                                  <w:sz w:val="23"/>
                                  <w:szCs w:val="23"/>
                                </w:rPr>
                                <w:t xml:space="preserve">One of the outcomes agreed from the negotiations for Year 3 of the Community Pharmacy Contractual Framework is an expansion of the New Medicine Service (NMS). </w:t>
                              </w:r>
                            </w:p>
                            <w:p w14:paraId="1D73F96F" w14:textId="77777777" w:rsidR="005B3E7E" w:rsidRDefault="005B3E7E" w:rsidP="001E2BA4">
                              <w:pPr>
                                <w:pStyle w:val="NormalWeb"/>
                                <w:spacing w:line="264" w:lineRule="auto"/>
                                <w:rPr>
                                  <w:rFonts w:ascii="Helvetica" w:hAnsi="Helvetica" w:cs="Helvetica"/>
                                  <w:color w:val="303030"/>
                                  <w:sz w:val="23"/>
                                  <w:szCs w:val="23"/>
                                </w:rPr>
                              </w:pPr>
                              <w:r>
                                <w:rPr>
                                  <w:rFonts w:ascii="Helvetica" w:hAnsi="Helvetica" w:cs="Helvetica"/>
                                  <w:color w:val="303030"/>
                                  <w:sz w:val="23"/>
                                  <w:szCs w:val="23"/>
                                </w:rPr>
                                <w:t>From </w:t>
                              </w:r>
                              <w:r>
                                <w:rPr>
                                  <w:rStyle w:val="Strong"/>
                                  <w:rFonts w:ascii="Helvetica" w:hAnsi="Helvetica" w:cs="Helvetica"/>
                                  <w:color w:val="303030"/>
                                  <w:sz w:val="23"/>
                                  <w:szCs w:val="23"/>
                                </w:rPr>
                                <w:t>1st September 2021</w:t>
                              </w:r>
                              <w:r>
                                <w:rPr>
                                  <w:rFonts w:ascii="Helvetica" w:hAnsi="Helvetica" w:cs="Helvetica"/>
                                  <w:color w:val="303030"/>
                                  <w:sz w:val="23"/>
                                  <w:szCs w:val="23"/>
                                </w:rPr>
                                <w:t>, contractors can offer patients support when they are newly prescribed medicines to manage thirteen additional conditions, including acute coronary syndrome (ACS), epilepsy and glaucoma.</w:t>
                              </w:r>
                              <w:r>
                                <w:rPr>
                                  <w:rFonts w:ascii="Helvetica" w:hAnsi="Helvetica" w:cs="Helvetica"/>
                                  <w:color w:val="303030"/>
                                  <w:sz w:val="23"/>
                                  <w:szCs w:val="23"/>
                                </w:rPr>
                                <w:br/>
                              </w:r>
                              <w:r>
                                <w:rPr>
                                  <w:rFonts w:ascii="Helvetica" w:hAnsi="Helvetica" w:cs="Helvetica"/>
                                  <w:color w:val="303030"/>
                                  <w:sz w:val="23"/>
                                  <w:szCs w:val="23"/>
                                </w:rPr>
                                <w:br/>
                              </w:r>
                              <w:hyperlink r:id="rId7" w:tgtFrame="_blank" w:history="1">
                                <w:r>
                                  <w:rPr>
                                    <w:rStyle w:val="Hyperlink"/>
                                    <w:rFonts w:ascii="Helvetica" w:hAnsi="Helvetica" w:cs="Helvetica"/>
                                    <w:b/>
                                    <w:bCs/>
                                    <w:color w:val="4E3487"/>
                                    <w:sz w:val="23"/>
                                    <w:szCs w:val="23"/>
                                  </w:rPr>
                                  <w:t>Find out more about the expansion of the NMS</w:t>
                                </w:r>
                              </w:hyperlink>
                            </w:p>
                            <w:p w14:paraId="573AB64A" w14:textId="55ACA666" w:rsidR="005B3E7E" w:rsidRPr="005F3CDC" w:rsidRDefault="005B3E7E" w:rsidP="005F3CDC">
                              <w:pPr>
                                <w:spacing w:line="264" w:lineRule="auto"/>
                                <w:rPr>
                                  <w:rFonts w:ascii="Helvetica" w:eastAsia="Times New Roman" w:hAnsi="Helvetica" w:cs="Helvetica"/>
                                  <w:color w:val="303030"/>
                                  <w:sz w:val="23"/>
                                  <w:szCs w:val="23"/>
                                </w:rPr>
                              </w:pPr>
                              <w:r>
                                <w:rPr>
                                  <w:rFonts w:ascii="Helvetica" w:eastAsia="Times New Roman" w:hAnsi="Helvetica" w:cs="Helvetica"/>
                                  <w:color w:val="303030"/>
                                  <w:sz w:val="23"/>
                                  <w:szCs w:val="23"/>
                                </w:rPr>
                                <w:pict w14:anchorId="58A5482F">
                                  <v:rect id="_x0000_i1033" style="width:468pt;height:1.5pt" o:hrstd="t" o:hr="t" fillcolor="#a0a0a0" stroked="f"/>
                                </w:pict>
                              </w:r>
                            </w:p>
                            <w:p w14:paraId="0270085B" w14:textId="77777777" w:rsidR="005B3E7E" w:rsidRDefault="005B3E7E" w:rsidP="001E2BA4">
                              <w:pPr>
                                <w:pStyle w:val="Heading2"/>
                                <w:rPr>
                                  <w:rFonts w:eastAsia="Times New Roman"/>
                                </w:rPr>
                              </w:pPr>
                              <w:r>
                                <w:rPr>
                                  <w:rFonts w:eastAsia="Times New Roman"/>
                                  <w:color w:val="4B0082"/>
                                </w:rPr>
                                <w:t>Pharmacy Quality Scheme for 2021/22</w:t>
                              </w:r>
                            </w:p>
                            <w:p w14:paraId="240282FC" w14:textId="654F80A3" w:rsidR="005B3E7E" w:rsidRPr="005F3CDC" w:rsidRDefault="005B3E7E" w:rsidP="005F3CDC">
                              <w:pPr>
                                <w:pStyle w:val="NormalWeb"/>
                                <w:spacing w:line="264" w:lineRule="auto"/>
                                <w:rPr>
                                  <w:rFonts w:ascii="Helvetica" w:eastAsia="Times New Roman" w:hAnsi="Helvetica" w:cs="Helvetica"/>
                                  <w:color w:val="303030"/>
                                  <w:sz w:val="23"/>
                                  <w:szCs w:val="23"/>
                                </w:rPr>
                              </w:pPr>
                              <w:r>
                                <w:rPr>
                                  <w:rFonts w:ascii="Helvetica" w:hAnsi="Helvetica" w:cs="Helvetica"/>
                                  <w:color w:val="303030"/>
                                  <w:sz w:val="23"/>
                                  <w:szCs w:val="23"/>
                                </w:rPr>
                                <w:t>PSNC, DHSC and NHSE&amp;I have agreed the arrangements for the 2021/22 scheme, with a focus on priorities supporting recovery from COVID-19.</w:t>
                              </w:r>
                              <w:r>
                                <w:rPr>
                                  <w:rFonts w:ascii="Helvetica" w:hAnsi="Helvetica" w:cs="Helvetica"/>
                                  <w:color w:val="303030"/>
                                  <w:sz w:val="23"/>
                                  <w:szCs w:val="23"/>
                                </w:rPr>
                                <w:br/>
                              </w:r>
                              <w:r>
                                <w:rPr>
                                  <w:rFonts w:ascii="Helvetica" w:hAnsi="Helvetica" w:cs="Helvetica"/>
                                  <w:color w:val="303030"/>
                                  <w:sz w:val="23"/>
                                  <w:szCs w:val="23"/>
                                </w:rPr>
                                <w:br/>
                                <w:t>The scheme will officially begin on 1st September 2021 with a declaration period in February 2022. As with previous schemes, it has £75m funding available and contractors will be able to claim an Aspiration payment if they wish to, later this year.</w:t>
                              </w:r>
                              <w:r>
                                <w:rPr>
                                  <w:rFonts w:ascii="Helvetica" w:hAnsi="Helvetica" w:cs="Helvetica"/>
                                  <w:color w:val="303030"/>
                                  <w:sz w:val="23"/>
                                  <w:szCs w:val="23"/>
                                </w:rPr>
                                <w:br/>
                              </w:r>
                              <w:r>
                                <w:rPr>
                                  <w:rFonts w:ascii="Helvetica" w:hAnsi="Helvetica" w:cs="Helvetica"/>
                                  <w:color w:val="303030"/>
                                  <w:sz w:val="23"/>
                                  <w:szCs w:val="23"/>
                                </w:rPr>
                                <w:br/>
                              </w:r>
                              <w:hyperlink r:id="rId8" w:history="1">
                                <w:r>
                                  <w:rPr>
                                    <w:rStyle w:val="Hyperlink"/>
                                    <w:rFonts w:ascii="Helvetica" w:hAnsi="Helvetica" w:cs="Helvetica"/>
                                    <w:b/>
                                    <w:bCs/>
                                    <w:color w:val="4E3487"/>
                                    <w:sz w:val="23"/>
                                    <w:szCs w:val="23"/>
                                  </w:rPr>
                                  <w:t>Read more about PQS for 2021/22</w:t>
                                </w:r>
                              </w:hyperlink>
                              <w:r>
                                <w:rPr>
                                  <w:rFonts w:ascii="Helvetica" w:hAnsi="Helvetica" w:cs="Helvetica"/>
                                  <w:color w:val="303030"/>
                                  <w:sz w:val="23"/>
                                  <w:szCs w:val="23"/>
                                </w:rPr>
                                <w:br/>
                              </w:r>
                              <w:r>
                                <w:rPr>
                                  <w:rFonts w:ascii="Helvetica" w:hAnsi="Helvetica" w:cs="Helvetica"/>
                                  <w:color w:val="303030"/>
                                  <w:sz w:val="23"/>
                                  <w:szCs w:val="23"/>
                                </w:rPr>
                                <w:lastRenderedPageBreak/>
                                <w:t> </w:t>
                              </w:r>
                              <w:r>
                                <w:rPr>
                                  <w:rFonts w:ascii="Helvetica" w:eastAsia="Times New Roman" w:hAnsi="Helvetica" w:cs="Helvetica"/>
                                  <w:color w:val="303030"/>
                                  <w:sz w:val="23"/>
                                  <w:szCs w:val="23"/>
                                </w:rPr>
                                <w:pict w14:anchorId="57CF18D3">
                                  <v:rect id="_x0000_i1034" style="width:468pt;height:1.5pt" o:hrstd="t" o:hr="t" fillcolor="#a0a0a0" stroked="f"/>
                                </w:pict>
                              </w:r>
                            </w:p>
                            <w:p w14:paraId="0F67B8D2" w14:textId="77777777" w:rsidR="005B3E7E" w:rsidRDefault="005B3E7E" w:rsidP="001E2BA4">
                              <w:pPr>
                                <w:pStyle w:val="Heading2"/>
                                <w:rPr>
                                  <w:rFonts w:eastAsia="Times New Roman"/>
                                </w:rPr>
                              </w:pPr>
                              <w:r>
                                <w:rPr>
                                  <w:rStyle w:val="Strong"/>
                                  <w:rFonts w:eastAsia="Times New Roman"/>
                                  <w:b/>
                                  <w:bCs/>
                                  <w:color w:val="4B0082"/>
                                </w:rPr>
                                <w:t>Flu Vaccination Service PGD published </w:t>
                              </w:r>
                            </w:p>
                            <w:p w14:paraId="1929F768" w14:textId="77777777" w:rsidR="005B3E7E" w:rsidRDefault="005B3E7E" w:rsidP="001E2BA4">
                              <w:pPr>
                                <w:spacing w:line="264" w:lineRule="auto"/>
                                <w:rPr>
                                  <w:rFonts w:ascii="Helvetica" w:eastAsia="Times New Roman" w:hAnsi="Helvetica" w:cs="Helvetica"/>
                                  <w:color w:val="303030"/>
                                  <w:sz w:val="23"/>
                                  <w:szCs w:val="23"/>
                                </w:rPr>
                              </w:pPr>
                              <w:r>
                                <w:rPr>
                                  <w:rFonts w:ascii="Helvetica" w:eastAsia="Times New Roman" w:hAnsi="Helvetica" w:cs="Helvetica"/>
                                  <w:color w:val="303030"/>
                                  <w:sz w:val="23"/>
                                  <w:szCs w:val="23"/>
                                </w:rPr>
                                <w:t>NHSE&amp;I have approved the patient group direction (PGD) for the forthcoming flu vaccination season. This PGD allows other healthcare professions listed in the PGD (</w:t>
                              </w:r>
                              <w:proofErr w:type="gramStart"/>
                              <w:r>
                                <w:rPr>
                                  <w:rFonts w:ascii="Helvetica" w:eastAsia="Times New Roman" w:hAnsi="Helvetica" w:cs="Helvetica"/>
                                  <w:color w:val="303030"/>
                                  <w:sz w:val="23"/>
                                  <w:szCs w:val="23"/>
                                </w:rPr>
                                <w:t>e.g.</w:t>
                              </w:r>
                              <w:proofErr w:type="gramEnd"/>
                              <w:r>
                                <w:rPr>
                                  <w:rFonts w:ascii="Helvetica" w:eastAsia="Times New Roman" w:hAnsi="Helvetica" w:cs="Helvetica"/>
                                  <w:color w:val="303030"/>
                                  <w:sz w:val="23"/>
                                  <w:szCs w:val="23"/>
                                </w:rPr>
                                <w:t xml:space="preserve"> nurses) to provide the service under the supervision of a pharmacist.</w:t>
                              </w:r>
                              <w:r>
                                <w:rPr>
                                  <w:rFonts w:ascii="Helvetica" w:eastAsia="Times New Roman" w:hAnsi="Helvetica" w:cs="Helvetica"/>
                                  <w:color w:val="303030"/>
                                  <w:sz w:val="23"/>
                                  <w:szCs w:val="23"/>
                                </w:rPr>
                                <w:br/>
                              </w:r>
                              <w:r>
                                <w:rPr>
                                  <w:rFonts w:ascii="Helvetica" w:eastAsia="Times New Roman" w:hAnsi="Helvetica" w:cs="Helvetica"/>
                                  <w:color w:val="303030"/>
                                  <w:sz w:val="23"/>
                                  <w:szCs w:val="23"/>
                                </w:rPr>
                                <w:br/>
                                <w:t>NHSE&amp;I have also confirmed that they are looking to have a National Protocol in place to support the flu vaccination programme for 2021/22. A national protocol has already been used by many pharmacies participating in the COVID-19 vaccination programme. It could be used by contractors as an alternative to the PGD, where they are able to make use of the skill mix flexibilities allowed by the protocol.</w:t>
                              </w:r>
                              <w:r>
                                <w:rPr>
                                  <w:rFonts w:ascii="Helvetica" w:eastAsia="Times New Roman" w:hAnsi="Helvetica" w:cs="Helvetica"/>
                                  <w:color w:val="303030"/>
                                  <w:sz w:val="23"/>
                                  <w:szCs w:val="23"/>
                                </w:rPr>
                                <w:br/>
                              </w:r>
                              <w:r>
                                <w:rPr>
                                  <w:rFonts w:ascii="Helvetica" w:eastAsia="Times New Roman" w:hAnsi="Helvetica" w:cs="Helvetica"/>
                                  <w:color w:val="303030"/>
                                  <w:sz w:val="23"/>
                                  <w:szCs w:val="23"/>
                                </w:rPr>
                                <w:br/>
                              </w:r>
                              <w:hyperlink r:id="rId9" w:history="1">
                                <w:r>
                                  <w:rPr>
                                    <w:rStyle w:val="Hyperlink"/>
                                    <w:rFonts w:ascii="Helvetica" w:eastAsia="Times New Roman" w:hAnsi="Helvetica" w:cs="Helvetica"/>
                                    <w:b/>
                                    <w:bCs/>
                                    <w:color w:val="4E3487"/>
                                    <w:sz w:val="23"/>
                                    <w:szCs w:val="23"/>
                                  </w:rPr>
                                  <w:t>Read more about the Flu vaccination service and changes to the PGD </w:t>
                                </w:r>
                              </w:hyperlink>
                              <w:r>
                                <w:rPr>
                                  <w:rFonts w:ascii="Helvetica" w:eastAsia="Times New Roman" w:hAnsi="Helvetica" w:cs="Helvetica"/>
                                  <w:color w:val="303030"/>
                                  <w:sz w:val="23"/>
                                  <w:szCs w:val="23"/>
                                </w:rPr>
                                <w:br/>
                                <w:t xml:space="preserve">  </w:t>
                              </w:r>
                            </w:p>
                            <w:p w14:paraId="7A04FD36" w14:textId="77777777" w:rsidR="005B3E7E" w:rsidRDefault="005B3E7E" w:rsidP="001E2BA4">
                              <w:pPr>
                                <w:spacing w:line="264" w:lineRule="auto"/>
                                <w:rPr>
                                  <w:rFonts w:ascii="Helvetica" w:eastAsia="Times New Roman" w:hAnsi="Helvetica" w:cs="Helvetica"/>
                                  <w:color w:val="303030"/>
                                  <w:sz w:val="23"/>
                                  <w:szCs w:val="23"/>
                                </w:rPr>
                              </w:pPr>
                              <w:r>
                                <w:rPr>
                                  <w:rFonts w:ascii="Helvetica" w:eastAsia="Times New Roman" w:hAnsi="Helvetica" w:cs="Helvetica"/>
                                  <w:color w:val="303030"/>
                                  <w:sz w:val="23"/>
                                  <w:szCs w:val="23"/>
                                </w:rPr>
                                <w:pict w14:anchorId="3EF84A1E">
                                  <v:rect id="_x0000_i1035" style="width:468pt;height:1.5pt" o:hrstd="t" o:hr="t" fillcolor="#a0a0a0" stroked="f"/>
                                </w:pict>
                              </w:r>
                            </w:p>
                            <w:p w14:paraId="2C72F5CE" w14:textId="77777777" w:rsidR="005B3E7E" w:rsidRDefault="005B3E7E" w:rsidP="001E2BA4">
                              <w:pPr>
                                <w:pStyle w:val="Heading3"/>
                                <w:rPr>
                                  <w:rFonts w:eastAsia="Times New Roman"/>
                                </w:rPr>
                              </w:pPr>
                              <w:r>
                                <w:rPr>
                                  <w:rFonts w:eastAsia="Times New Roman"/>
                                </w:rPr>
                                <w:t> </w:t>
                              </w:r>
                            </w:p>
                            <w:p w14:paraId="514CBCF9" w14:textId="77777777" w:rsidR="005B3E7E" w:rsidRDefault="005B3E7E" w:rsidP="001E2BA4">
                              <w:pPr>
                                <w:pStyle w:val="Heading2"/>
                                <w:rPr>
                                  <w:rFonts w:eastAsia="Times New Roman"/>
                                </w:rPr>
                              </w:pPr>
                              <w:r>
                                <w:rPr>
                                  <w:rFonts w:eastAsia="Times New Roman"/>
                                  <w:color w:val="4B0082"/>
                                </w:rPr>
                                <w:t>Implementing the GP CPCS</w:t>
                              </w:r>
                            </w:p>
                            <w:p w14:paraId="2D5441E6" w14:textId="34D77B72" w:rsidR="005B3E7E" w:rsidRPr="005F3CDC" w:rsidRDefault="005B3E7E" w:rsidP="005F3CDC">
                              <w:pPr>
                                <w:spacing w:line="264" w:lineRule="auto"/>
                                <w:rPr>
                                  <w:rFonts w:ascii="Helvetica" w:eastAsia="Times New Roman" w:hAnsi="Helvetica" w:cs="Helvetica"/>
                                  <w:color w:val="303030"/>
                                  <w:sz w:val="23"/>
                                  <w:szCs w:val="23"/>
                                </w:rPr>
                              </w:pPr>
                              <w:r>
                                <w:rPr>
                                  <w:rFonts w:ascii="Helvetica" w:eastAsia="Times New Roman" w:hAnsi="Helvetica" w:cs="Helvetica"/>
                                  <w:color w:val="303030"/>
                                  <w:sz w:val="23"/>
                                  <w:szCs w:val="23"/>
                                </w:rPr>
                                <w:t>The Community Pharmacist Consultation Service (CPCS) was extended to include </w:t>
                              </w:r>
                              <w:hyperlink r:id="rId10" w:history="1">
                                <w:r>
                                  <w:rPr>
                                    <w:rStyle w:val="Hyperlink"/>
                                    <w:rFonts w:ascii="Helvetica" w:eastAsia="Times New Roman" w:hAnsi="Helvetica" w:cs="Helvetica"/>
                                    <w:b/>
                                    <w:bCs/>
                                    <w:color w:val="4E3487"/>
                                    <w:sz w:val="23"/>
                                    <w:szCs w:val="23"/>
                                  </w:rPr>
                                  <w:t>referrals from general practices</w:t>
                                </w:r>
                              </w:hyperlink>
                              <w:r>
                                <w:rPr>
                                  <w:rFonts w:ascii="Helvetica" w:eastAsia="Times New Roman" w:hAnsi="Helvetica" w:cs="Helvetica"/>
                                  <w:color w:val="303030"/>
                                  <w:sz w:val="23"/>
                                  <w:szCs w:val="23"/>
                                </w:rPr>
                                <w:t>  in November 2020. Nine months on, Clark’s Chemist in Barnsley is receiving around 20-25 minor illness referrals a week from a number of general practices.</w:t>
                              </w:r>
                              <w:r>
                                <w:rPr>
                                  <w:rFonts w:ascii="Helvetica" w:eastAsia="Times New Roman" w:hAnsi="Helvetica" w:cs="Helvetica"/>
                                  <w:color w:val="303030"/>
                                  <w:sz w:val="23"/>
                                  <w:szCs w:val="23"/>
                                </w:rPr>
                                <w:br/>
                              </w:r>
                              <w:r>
                                <w:rPr>
                                  <w:rFonts w:ascii="Helvetica" w:eastAsia="Times New Roman" w:hAnsi="Helvetica" w:cs="Helvetica"/>
                                  <w:color w:val="303030"/>
                                  <w:sz w:val="23"/>
                                  <w:szCs w:val="23"/>
                                </w:rPr>
                                <w:br/>
                                <w:t>Adam Clark, the Pharmacist at Clark’s Chemist, is clear that the service has benefitted patients who, instead of having to see a GP, have been able to attend a face to face or virtual consultation with a pharmacist that same day or at a time convenient to them.</w:t>
                              </w:r>
                              <w:r>
                                <w:rPr>
                                  <w:rFonts w:ascii="Helvetica" w:eastAsia="Times New Roman" w:hAnsi="Helvetica" w:cs="Helvetica"/>
                                  <w:color w:val="303030"/>
                                  <w:sz w:val="23"/>
                                  <w:szCs w:val="23"/>
                                </w:rPr>
                                <w:br/>
                              </w:r>
                              <w:r>
                                <w:rPr>
                                  <w:rFonts w:ascii="Helvetica" w:eastAsia="Times New Roman" w:hAnsi="Helvetica" w:cs="Helvetica"/>
                                  <w:color w:val="303030"/>
                                  <w:sz w:val="23"/>
                                  <w:szCs w:val="23"/>
                                </w:rPr>
                                <w:br/>
                                <w:t>Adam believes that GP CPCS has been a valuable tool in educating GPs on what community pharmacies can do and that the relationships built between pharmacies and GP surgeries delivering the service could pave the way for the introduction of more national Advanced Services that harness pharmacists’ clinical expertise.</w:t>
                              </w:r>
                              <w:r>
                                <w:rPr>
                                  <w:rFonts w:ascii="Helvetica" w:eastAsia="Times New Roman" w:hAnsi="Helvetica" w:cs="Helvetica"/>
                                  <w:color w:val="303030"/>
                                  <w:sz w:val="23"/>
                                  <w:szCs w:val="23"/>
                                </w:rPr>
                                <w:br/>
                              </w:r>
                              <w:r>
                                <w:rPr>
                                  <w:rFonts w:ascii="Helvetica" w:eastAsia="Times New Roman" w:hAnsi="Helvetica" w:cs="Helvetica"/>
                                  <w:color w:val="303030"/>
                                  <w:sz w:val="23"/>
                                  <w:szCs w:val="23"/>
                                </w:rPr>
                                <w:br/>
                              </w:r>
                              <w:hyperlink r:id="rId11" w:history="1">
                                <w:r>
                                  <w:rPr>
                                    <w:rStyle w:val="Hyperlink"/>
                                    <w:rFonts w:ascii="Helvetica" w:eastAsia="Times New Roman" w:hAnsi="Helvetica" w:cs="Helvetica"/>
                                    <w:b/>
                                    <w:bCs/>
                                    <w:color w:val="4E3487"/>
                                    <w:sz w:val="23"/>
                                    <w:szCs w:val="23"/>
                                  </w:rPr>
                                  <w:t>Learn more about how Clark's Chemist implemented GP CPCS </w:t>
                                </w:r>
                              </w:hyperlink>
                              <w:r>
                                <w:rPr>
                                  <w:rFonts w:ascii="Helvetica" w:eastAsia="Times New Roman" w:hAnsi="Helvetica" w:cs="Helvetica"/>
                                  <w:color w:val="303030"/>
                                  <w:sz w:val="23"/>
                                  <w:szCs w:val="23"/>
                                </w:rPr>
                                <w:t xml:space="preserve"> </w:t>
                              </w:r>
                            </w:p>
                          </w:tc>
                        </w:tr>
                        <w:tr w:rsidR="005B3E7E" w14:paraId="0BE8660D" w14:textId="77777777">
                          <w:trPr>
                            <w:tblCellSpacing w:w="0" w:type="dxa"/>
                            <w:jc w:val="center"/>
                          </w:trPr>
                          <w:tc>
                            <w:tcPr>
                              <w:tcW w:w="0" w:type="auto"/>
                              <w:hideMark/>
                            </w:tcPr>
                            <w:p w14:paraId="4671842C" w14:textId="77777777" w:rsidR="005B3E7E" w:rsidRDefault="005B3E7E">
                              <w:pPr>
                                <w:rPr>
                                  <w:rFonts w:eastAsia="Times New Roman"/>
                                </w:rPr>
                              </w:pPr>
                            </w:p>
                          </w:tc>
                        </w:tr>
                        <w:tr w:rsidR="005B3E7E" w14:paraId="24B98437" w14:textId="77777777">
                          <w:trPr>
                            <w:tblCellSpacing w:w="0" w:type="dxa"/>
                            <w:jc w:val="center"/>
                          </w:trPr>
                          <w:tc>
                            <w:tcPr>
                              <w:tcW w:w="9000" w:type="dxa"/>
                              <w:hideMark/>
                            </w:tcPr>
                            <w:p w14:paraId="6D9FC0EF" w14:textId="5AF2C888" w:rsidR="005B3E7E" w:rsidRDefault="005B3E7E">
                              <w:pPr>
                                <w:rPr>
                                  <w:rFonts w:eastAsia="Times New Roman"/>
                                </w:rPr>
                              </w:pPr>
                              <w:r>
                                <w:rPr>
                                  <w:rFonts w:eastAsia="Times New Roman"/>
                                  <w:noProof/>
                                </w:rPr>
                                <w:drawing>
                                  <wp:inline distT="0" distB="0" distL="0" distR="0" wp14:anchorId="56403737" wp14:editId="18D2682A">
                                    <wp:extent cx="5715000" cy="190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715000" cy="190500"/>
                                            </a:xfrm>
                                            <a:prstGeom prst="rect">
                                              <a:avLst/>
                                            </a:prstGeom>
                                            <a:noFill/>
                                            <a:ln>
                                              <a:noFill/>
                                            </a:ln>
                                          </pic:spPr>
                                        </pic:pic>
                                      </a:graphicData>
                                    </a:graphic>
                                  </wp:inline>
                                </w:drawing>
                              </w:r>
                            </w:p>
                          </w:tc>
                        </w:tr>
                      </w:tbl>
                      <w:p w14:paraId="7C120154" w14:textId="77777777" w:rsidR="005B3E7E" w:rsidRDefault="005B3E7E">
                        <w:pPr>
                          <w:jc w:val="center"/>
                          <w:rPr>
                            <w:rFonts w:ascii="Times New Roman" w:eastAsia="Times New Roman" w:hAnsi="Times New Roman" w:cs="Times New Roman"/>
                            <w:sz w:val="20"/>
                            <w:szCs w:val="20"/>
                          </w:rPr>
                        </w:pPr>
                      </w:p>
                    </w:tc>
                  </w:tr>
                </w:tbl>
                <w:p w14:paraId="2FE5F637" w14:textId="77777777" w:rsidR="005B3E7E" w:rsidRDefault="005B3E7E">
                  <w:pPr>
                    <w:jc w:val="center"/>
                    <w:rPr>
                      <w:rFonts w:ascii="Times New Roman" w:eastAsia="Times New Roman" w:hAnsi="Times New Roman" w:cs="Times New Roman"/>
                      <w:sz w:val="20"/>
                      <w:szCs w:val="20"/>
                    </w:rPr>
                  </w:pPr>
                </w:p>
              </w:tc>
            </w:tr>
            <w:tr w:rsidR="005B3E7E" w14:paraId="60375E01" w14:textId="77777777" w:rsidTr="005F3CDC">
              <w:tblPrEx>
                <w:shd w:val="clear" w:color="auto" w:fill="auto"/>
                <w:tblCellMar>
                  <w:left w:w="0" w:type="dxa"/>
                  <w:right w:w="0" w:type="dxa"/>
                </w:tblCellMar>
              </w:tblPrEx>
              <w:trPr>
                <w:trHeight w:val="1401"/>
                <w:tblCellSpacing w:w="0" w:type="dxa"/>
                <w:jc w:val="center"/>
              </w:trPr>
              <w:tc>
                <w:tcPr>
                  <w:tcW w:w="0" w:type="auto"/>
                  <w:shd w:val="clear" w:color="auto" w:fill="4E3487"/>
                  <w:tcMar>
                    <w:top w:w="300" w:type="dxa"/>
                    <w:left w:w="0" w:type="dxa"/>
                    <w:bottom w:w="150" w:type="dxa"/>
                    <w:right w:w="0" w:type="dxa"/>
                  </w:tcMa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5B3E7E" w14:paraId="06CA1F3D" w14:textId="77777777">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5B3E7E" w14:paraId="442727EC" w14:textId="77777777">
                          <w:trPr>
                            <w:tblCellSpacing w:w="0" w:type="dxa"/>
                            <w:jc w:val="center"/>
                          </w:trPr>
                          <w:tc>
                            <w:tcPr>
                              <w:tcW w:w="0" w:type="auto"/>
                              <w:hideMark/>
                            </w:tcPr>
                            <w:p w14:paraId="7DA87F43" w14:textId="77777777" w:rsidR="005B3E7E" w:rsidRDefault="005B3E7E">
                              <w:pPr>
                                <w:pStyle w:val="Heading4"/>
                                <w:rPr>
                                  <w:rFonts w:eastAsia="Times New Roman"/>
                                </w:rPr>
                              </w:pPr>
                              <w:r>
                                <w:rPr>
                                  <w:rFonts w:eastAsia="Times New Roman"/>
                                </w:rPr>
                                <w:lastRenderedPageBreak/>
                                <w:t xml:space="preserve">This email has been sent to you by the Pharmaceutical Services Negotiating Committee. We represent community pharmacy owners in England, working to negotiate and develop the NHS community pharmacy service for the benefit of patients, the </w:t>
                              </w:r>
                              <w:proofErr w:type="gramStart"/>
                              <w:r>
                                <w:rPr>
                                  <w:rFonts w:eastAsia="Times New Roman"/>
                                </w:rPr>
                                <w:t>NHS</w:t>
                              </w:r>
                              <w:proofErr w:type="gramEnd"/>
                              <w:r>
                                <w:rPr>
                                  <w:rFonts w:eastAsia="Times New Roman"/>
                                </w:rPr>
                                <w:t xml:space="preserve"> and pharmacies.</w:t>
                              </w:r>
                            </w:p>
                          </w:tc>
                        </w:tr>
                        <w:tr w:rsidR="005B3E7E" w14:paraId="284AE836" w14:textId="77777777">
                          <w:trPr>
                            <w:tblCellSpacing w:w="0" w:type="dxa"/>
                            <w:jc w:val="center"/>
                          </w:trPr>
                          <w:tc>
                            <w:tcPr>
                              <w:tcW w:w="0" w:type="auto"/>
                              <w:tcMar>
                                <w:top w:w="75" w:type="dxa"/>
                                <w:left w:w="0" w:type="dxa"/>
                                <w:bottom w:w="150" w:type="dxa"/>
                                <w:right w:w="0" w:type="dxa"/>
                              </w:tcMar>
                              <w:vAlign w:val="center"/>
                              <w:hideMark/>
                            </w:tcPr>
                            <w:p w14:paraId="2D3368DE" w14:textId="77777777" w:rsidR="005B3E7E" w:rsidRDefault="005B3E7E">
                              <w:pPr>
                                <w:jc w:val="center"/>
                                <w:rPr>
                                  <w:rFonts w:ascii="Arial" w:eastAsia="Times New Roman" w:hAnsi="Arial" w:cs="Arial"/>
                                  <w:color w:val="FFFFFF"/>
                                  <w:sz w:val="18"/>
                                  <w:szCs w:val="18"/>
                                </w:rPr>
                              </w:pPr>
                              <w:r>
                                <w:rPr>
                                  <w:rFonts w:ascii="Arial" w:eastAsia="Times New Roman" w:hAnsi="Arial" w:cs="Arial"/>
                                  <w:color w:val="FFFFFF"/>
                                  <w:sz w:val="18"/>
                                  <w:szCs w:val="18"/>
                                </w:rPr>
                                <w:t>Pharmaceutical Services Negotiating Committee, 14 Hosier Lane, London, EC1A 9LQ</w:t>
                              </w:r>
                              <w:r>
                                <w:rPr>
                                  <w:rFonts w:ascii="Arial" w:eastAsia="Times New Roman" w:hAnsi="Arial" w:cs="Arial"/>
                                  <w:color w:val="FFFFFF"/>
                                  <w:sz w:val="18"/>
                                  <w:szCs w:val="18"/>
                                </w:rPr>
                                <w:br/>
                                <w:t>Tel: 0203 1220 810 | Email: </w:t>
                              </w:r>
                              <w:hyperlink r:id="rId14" w:tgtFrame="_blank" w:history="1">
                                <w:r>
                                  <w:rPr>
                                    <w:rStyle w:val="Hyperlink"/>
                                    <w:rFonts w:ascii="Arial" w:eastAsia="Times New Roman" w:hAnsi="Arial" w:cs="Arial"/>
                                    <w:b/>
                                    <w:bCs/>
                                    <w:color w:val="FFFFFF"/>
                                    <w:sz w:val="18"/>
                                    <w:szCs w:val="18"/>
                                  </w:rPr>
                                  <w:t>info@psnc.org.uk</w:t>
                                </w:r>
                              </w:hyperlink>
                              <w:r>
                                <w:rPr>
                                  <w:rFonts w:ascii="Arial" w:eastAsia="Times New Roman" w:hAnsi="Arial" w:cs="Arial"/>
                                  <w:color w:val="FFFFFF"/>
                                  <w:sz w:val="18"/>
                                  <w:szCs w:val="18"/>
                                </w:rPr>
                                <w:t xml:space="preserve"> </w:t>
                              </w:r>
                            </w:p>
                          </w:tc>
                        </w:tr>
                        <w:tr w:rsidR="005B3E7E" w14:paraId="15645182" w14:textId="77777777">
                          <w:trPr>
                            <w:tblCellSpacing w:w="0" w:type="dxa"/>
                            <w:jc w:val="center"/>
                          </w:trPr>
                          <w:tc>
                            <w:tcPr>
                              <w:tcW w:w="0" w:type="auto"/>
                              <w:tcMar>
                                <w:top w:w="150" w:type="dxa"/>
                                <w:left w:w="0" w:type="dxa"/>
                                <w:bottom w:w="0" w:type="dxa"/>
                                <w:right w:w="0" w:type="dxa"/>
                              </w:tcMar>
                              <w:vAlign w:val="center"/>
                              <w:hideMark/>
                            </w:tcPr>
                            <w:p w14:paraId="5CBB381B" w14:textId="3AF35BFD" w:rsidR="005B3E7E" w:rsidRDefault="005B3E7E" w:rsidP="005F3CDC">
                              <w:pPr>
                                <w:rPr>
                                  <w:rFonts w:ascii="Arial" w:eastAsia="Times New Roman" w:hAnsi="Arial" w:cs="Arial"/>
                                  <w:color w:val="FFFFFF"/>
                                  <w:sz w:val="17"/>
                                  <w:szCs w:val="17"/>
                                </w:rPr>
                              </w:pPr>
                              <w:r>
                                <w:rPr>
                                  <w:rFonts w:ascii="Arial" w:eastAsia="Times New Roman" w:hAnsi="Arial" w:cs="Arial"/>
                                  <w:color w:val="FFFFFF"/>
                                  <w:sz w:val="17"/>
                                  <w:szCs w:val="17"/>
                                </w:rPr>
                                <w:t xml:space="preserve"> </w:t>
                              </w:r>
                            </w:p>
                          </w:tc>
                        </w:tr>
                      </w:tbl>
                      <w:p w14:paraId="449798B5" w14:textId="77777777" w:rsidR="005B3E7E" w:rsidRDefault="005B3E7E">
                        <w:pPr>
                          <w:jc w:val="center"/>
                          <w:rPr>
                            <w:rFonts w:ascii="Times New Roman" w:eastAsia="Times New Roman" w:hAnsi="Times New Roman" w:cs="Times New Roman"/>
                            <w:sz w:val="20"/>
                            <w:szCs w:val="20"/>
                          </w:rPr>
                        </w:pPr>
                      </w:p>
                    </w:tc>
                  </w:tr>
                </w:tbl>
                <w:p w14:paraId="131D2594" w14:textId="77777777" w:rsidR="005B3E7E" w:rsidRDefault="005B3E7E">
                  <w:pPr>
                    <w:jc w:val="center"/>
                    <w:rPr>
                      <w:rFonts w:ascii="Times New Roman" w:eastAsia="Times New Roman" w:hAnsi="Times New Roman" w:cs="Times New Roman"/>
                      <w:sz w:val="20"/>
                      <w:szCs w:val="20"/>
                    </w:rPr>
                  </w:pPr>
                </w:p>
              </w:tc>
            </w:tr>
          </w:tbl>
          <w:p w14:paraId="471E31E4" w14:textId="77777777" w:rsidR="005B3E7E" w:rsidRDefault="005B3E7E">
            <w:pPr>
              <w:jc w:val="center"/>
              <w:rPr>
                <w:rFonts w:ascii="Times New Roman" w:eastAsia="Times New Roman" w:hAnsi="Times New Roman" w:cs="Times New Roman"/>
                <w:sz w:val="20"/>
                <w:szCs w:val="20"/>
              </w:rPr>
            </w:pPr>
          </w:p>
        </w:tc>
      </w:tr>
    </w:tbl>
    <w:p w14:paraId="27A9A32F" w14:textId="03B14EA8" w:rsidR="00DD1890" w:rsidRPr="002D3EB2" w:rsidRDefault="005B3E7E">
      <w:pPr>
        <w:rPr>
          <w:rFonts w:eastAsia="Times New Roman"/>
        </w:rPr>
      </w:pPr>
      <w:r>
        <w:rPr>
          <w:rFonts w:eastAsia="Times New Roman"/>
          <w:noProof/>
        </w:rPr>
        <w:lastRenderedPageBreak/>
        <w:drawing>
          <wp:inline distT="0" distB="0" distL="0" distR="0" wp14:anchorId="78931C68" wp14:editId="69C46B9F">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DD1890" w:rsidRPr="002D3EB2" w:rsidSect="002D3EB2">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E7E"/>
    <w:rsid w:val="001E2BA4"/>
    <w:rsid w:val="0025485B"/>
    <w:rsid w:val="002D3EB2"/>
    <w:rsid w:val="004A5D3A"/>
    <w:rsid w:val="005B3E7E"/>
    <w:rsid w:val="005F3CDC"/>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07054"/>
  <w15:chartTrackingRefBased/>
  <w15:docId w15:val="{F8FF31BE-CC31-4C47-A53D-E0F0E713F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E7E"/>
    <w:rPr>
      <w:rFonts w:ascii="Calibri" w:hAnsi="Calibri" w:cs="Calibri"/>
      <w:lang w:eastAsia="en-GB"/>
    </w:rPr>
  </w:style>
  <w:style w:type="paragraph" w:styleId="Heading1">
    <w:name w:val="heading 1"/>
    <w:basedOn w:val="Normal"/>
    <w:link w:val="Heading1Char"/>
    <w:uiPriority w:val="9"/>
    <w:qFormat/>
    <w:rsid w:val="005B3E7E"/>
    <w:pPr>
      <w:spacing w:after="150"/>
      <w:outlineLvl w:val="0"/>
    </w:pPr>
    <w:rPr>
      <w:rFonts w:ascii="Helvetica" w:hAnsi="Helvetica" w:cs="Helvetica"/>
      <w:b/>
      <w:bCs/>
      <w:color w:val="4E3487"/>
      <w:kern w:val="36"/>
      <w:sz w:val="81"/>
      <w:szCs w:val="81"/>
    </w:rPr>
  </w:style>
  <w:style w:type="paragraph" w:styleId="Heading2">
    <w:name w:val="heading 2"/>
    <w:basedOn w:val="Normal"/>
    <w:link w:val="Heading2Char"/>
    <w:uiPriority w:val="9"/>
    <w:semiHidden/>
    <w:unhideWhenUsed/>
    <w:qFormat/>
    <w:rsid w:val="005B3E7E"/>
    <w:pPr>
      <w:spacing w:after="150"/>
      <w:outlineLvl w:val="1"/>
    </w:pPr>
    <w:rPr>
      <w:rFonts w:ascii="Helvetica" w:hAnsi="Helvetica" w:cs="Helvetica"/>
      <w:b/>
      <w:bCs/>
      <w:color w:val="3F3F38"/>
      <w:sz w:val="32"/>
      <w:szCs w:val="32"/>
    </w:rPr>
  </w:style>
  <w:style w:type="paragraph" w:styleId="Heading3">
    <w:name w:val="heading 3"/>
    <w:basedOn w:val="Normal"/>
    <w:link w:val="Heading3Char"/>
    <w:uiPriority w:val="9"/>
    <w:unhideWhenUsed/>
    <w:qFormat/>
    <w:rsid w:val="005B3E7E"/>
    <w:pPr>
      <w:spacing w:after="150"/>
      <w:outlineLvl w:val="2"/>
    </w:pPr>
    <w:rPr>
      <w:rFonts w:ascii="Helvetica" w:hAnsi="Helvetica" w:cs="Helvetica"/>
      <w:b/>
      <w:bCs/>
      <w:color w:val="4E3487"/>
      <w:sz w:val="23"/>
      <w:szCs w:val="23"/>
    </w:rPr>
  </w:style>
  <w:style w:type="paragraph" w:styleId="Heading4">
    <w:name w:val="heading 4"/>
    <w:basedOn w:val="Normal"/>
    <w:link w:val="Heading4Char"/>
    <w:uiPriority w:val="9"/>
    <w:semiHidden/>
    <w:unhideWhenUsed/>
    <w:qFormat/>
    <w:rsid w:val="005B3E7E"/>
    <w:pPr>
      <w:spacing w:after="150"/>
      <w:jc w:val="center"/>
      <w:outlineLvl w:val="3"/>
    </w:pPr>
    <w:rPr>
      <w:rFonts w:ascii="Helvetica" w:hAnsi="Helvetica" w:cs="Helvetica"/>
      <w:b/>
      <w:bCs/>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E7E"/>
    <w:rPr>
      <w:rFonts w:ascii="Helvetica" w:hAnsi="Helvetica" w:cs="Helvetica"/>
      <w:b/>
      <w:bCs/>
      <w:color w:val="4E3487"/>
      <w:kern w:val="36"/>
      <w:sz w:val="81"/>
      <w:szCs w:val="81"/>
      <w:lang w:eastAsia="en-GB"/>
    </w:rPr>
  </w:style>
  <w:style w:type="character" w:customStyle="1" w:styleId="Heading2Char">
    <w:name w:val="Heading 2 Char"/>
    <w:basedOn w:val="DefaultParagraphFont"/>
    <w:link w:val="Heading2"/>
    <w:uiPriority w:val="9"/>
    <w:semiHidden/>
    <w:rsid w:val="005B3E7E"/>
    <w:rPr>
      <w:rFonts w:ascii="Helvetica" w:hAnsi="Helvetica" w:cs="Helvetica"/>
      <w:b/>
      <w:bCs/>
      <w:color w:val="3F3F38"/>
      <w:sz w:val="32"/>
      <w:szCs w:val="32"/>
      <w:lang w:eastAsia="en-GB"/>
    </w:rPr>
  </w:style>
  <w:style w:type="character" w:customStyle="1" w:styleId="Heading3Char">
    <w:name w:val="Heading 3 Char"/>
    <w:basedOn w:val="DefaultParagraphFont"/>
    <w:link w:val="Heading3"/>
    <w:uiPriority w:val="9"/>
    <w:rsid w:val="005B3E7E"/>
    <w:rPr>
      <w:rFonts w:ascii="Helvetica" w:hAnsi="Helvetica" w:cs="Helvetica"/>
      <w:b/>
      <w:bCs/>
      <w:color w:val="4E3487"/>
      <w:sz w:val="23"/>
      <w:szCs w:val="23"/>
      <w:lang w:eastAsia="en-GB"/>
    </w:rPr>
  </w:style>
  <w:style w:type="character" w:customStyle="1" w:styleId="Heading4Char">
    <w:name w:val="Heading 4 Char"/>
    <w:basedOn w:val="DefaultParagraphFont"/>
    <w:link w:val="Heading4"/>
    <w:uiPriority w:val="9"/>
    <w:semiHidden/>
    <w:rsid w:val="005B3E7E"/>
    <w:rPr>
      <w:rFonts w:ascii="Helvetica" w:hAnsi="Helvetica" w:cs="Helvetica"/>
      <w:b/>
      <w:bCs/>
      <w:color w:val="FFFFFF"/>
      <w:sz w:val="20"/>
      <w:szCs w:val="20"/>
      <w:lang w:eastAsia="en-GB"/>
    </w:rPr>
  </w:style>
  <w:style w:type="paragraph" w:styleId="NormalWeb">
    <w:name w:val="Normal (Web)"/>
    <w:basedOn w:val="Normal"/>
    <w:uiPriority w:val="99"/>
    <w:unhideWhenUsed/>
    <w:rsid w:val="005B3E7E"/>
    <w:pPr>
      <w:spacing w:before="100" w:beforeAutospacing="1" w:after="100" w:afterAutospacing="1"/>
    </w:pPr>
  </w:style>
  <w:style w:type="character" w:styleId="Strong">
    <w:name w:val="Strong"/>
    <w:basedOn w:val="DefaultParagraphFont"/>
    <w:uiPriority w:val="22"/>
    <w:qFormat/>
    <w:rsid w:val="005B3E7E"/>
    <w:rPr>
      <w:b/>
      <w:bCs/>
    </w:rPr>
  </w:style>
  <w:style w:type="character" w:styleId="Hyperlink">
    <w:name w:val="Hyperlink"/>
    <w:basedOn w:val="DefaultParagraphFont"/>
    <w:uiPriority w:val="99"/>
    <w:semiHidden/>
    <w:unhideWhenUsed/>
    <w:rsid w:val="005B3E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25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45a44a3e0b&amp;e=d19e9fd41c" TargetMode="External"/><Relationship Id="rId13" Type="http://schemas.openxmlformats.org/officeDocument/2006/relationships/image" Target="https://gallery.mailchimp.com/86d41ab7fa4c7c2c5d7210782/images/c0553aad-1135-4e82-9c3d-427f24042e29.jpg"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snc.us7.list-manage.com/track/click?u=86d41ab7fa4c7c2c5d7210782&amp;id=45f022a08a&amp;e=d19e9fd41c" TargetMode="Externa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https://psnc.us7.list-manage.com/track/open.php?u=86d41ab7fa4c7c2c5d7210782&amp;id=9adb154019&amp;e=d19e9fd41c" TargetMode="External"/><Relationship Id="rId1" Type="http://schemas.openxmlformats.org/officeDocument/2006/relationships/styles" Target="styles.xml"/><Relationship Id="rId6" Type="http://schemas.openxmlformats.org/officeDocument/2006/relationships/hyperlink" Target="https://psnc.us7.list-manage.com/track/click?u=86d41ab7fa4c7c2c5d7210782&amp;id=a5e6daf20a&amp;e=d19e9fd41c" TargetMode="External"/><Relationship Id="rId11" Type="http://schemas.openxmlformats.org/officeDocument/2006/relationships/hyperlink" Target="https://psnc.us7.list-manage.com/track/click?u=86d41ab7fa4c7c2c5d7210782&amp;id=da3e4ab2aa&amp;e=d19e9fd41c" TargetMode="External"/><Relationship Id="rId5" Type="http://schemas.openxmlformats.org/officeDocument/2006/relationships/image" Target="https://gallery.mailchimp.com/86d41ab7fa4c7c2c5d7210782/images/7e20e3a0-10d4-491a-b136-f3eba7cb7651.jpg" TargetMode="External"/><Relationship Id="rId15" Type="http://schemas.openxmlformats.org/officeDocument/2006/relationships/image" Target="media/image3.gif"/><Relationship Id="rId10" Type="http://schemas.openxmlformats.org/officeDocument/2006/relationships/hyperlink" Target="https://psnc.us7.list-manage.com/track/click?u=86d41ab7fa4c7c2c5d7210782&amp;id=640e39b318&amp;e=d19e9fd41c"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34423c9221&amp;e=d19e9fd41c" TargetMode="External"/><Relationship Id="rId14" Type="http://schemas.openxmlformats.org/officeDocument/2006/relationships/hyperlink" Target="mailto:info@psn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666</Words>
  <Characters>3798</Characters>
  <Application>Microsoft Office Word</Application>
  <DocSecurity>0</DocSecurity>
  <Lines>31</Lines>
  <Paragraphs>8</Paragraphs>
  <ScaleCrop>false</ScaleCrop>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6</cp:revision>
  <dcterms:created xsi:type="dcterms:W3CDTF">2021-08-27T08:52:00Z</dcterms:created>
  <dcterms:modified xsi:type="dcterms:W3CDTF">2021-08-27T08:57:00Z</dcterms:modified>
</cp:coreProperties>
</file>