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86E12" w14:paraId="59653D1D" w14:textId="77777777" w:rsidTr="00586E12">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86E12" w14:paraId="66F1FA2A"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586E12" w14:paraId="0B9D4648" w14:textId="77777777">
                    <w:trPr>
                      <w:tblCellSpacing w:w="0" w:type="dxa"/>
                      <w:jc w:val="center"/>
                    </w:trPr>
                    <w:tc>
                      <w:tcPr>
                        <w:tcW w:w="3000" w:type="dxa"/>
                        <w:hideMark/>
                      </w:tcPr>
                      <w:p w14:paraId="3EE5A950" w14:textId="28D2A990" w:rsidR="00586E12" w:rsidRDefault="00586E12" w:rsidP="00586E12">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B9DFCA4" w14:textId="77777777" w:rsidR="00586E12" w:rsidRDefault="00586E12">
                  <w:pPr>
                    <w:jc w:val="center"/>
                    <w:rPr>
                      <w:rFonts w:ascii="Times New Roman" w:eastAsia="Times New Roman" w:hAnsi="Times New Roman" w:cs="Times New Roman"/>
                      <w:sz w:val="20"/>
                      <w:szCs w:val="20"/>
                    </w:rPr>
                  </w:pPr>
                </w:p>
              </w:tc>
            </w:tr>
            <w:tr w:rsidR="00586E12" w14:paraId="011703FE"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586E12" w14:paraId="1BEED4CC"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4B8A83CB" w14:textId="71D42717" w:rsidR="00586E12" w:rsidRDefault="00586E12">
                        <w:pPr>
                          <w:jc w:val="center"/>
                          <w:rPr>
                            <w:rFonts w:eastAsia="Times New Roman"/>
                          </w:rPr>
                        </w:pPr>
                        <w:r>
                          <w:rPr>
                            <w:rFonts w:eastAsia="Times New Roman"/>
                            <w:noProof/>
                          </w:rPr>
                          <w:drawing>
                            <wp:inline distT="0" distB="0" distL="0" distR="0" wp14:anchorId="14DA5085" wp14:editId="71D775EE">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586E12" w14:paraId="7ECE2570" w14:textId="77777777">
                    <w:trPr>
                      <w:tblCellSpacing w:w="0" w:type="dxa"/>
                    </w:trPr>
                    <w:tc>
                      <w:tcPr>
                        <w:tcW w:w="0" w:type="auto"/>
                        <w:vMerge/>
                        <w:tcBorders>
                          <w:top w:val="nil"/>
                          <w:left w:val="nil"/>
                          <w:bottom w:val="single" w:sz="2" w:space="0" w:color="FFFFFF"/>
                          <w:right w:val="nil"/>
                        </w:tcBorders>
                        <w:vAlign w:val="center"/>
                        <w:hideMark/>
                      </w:tcPr>
                      <w:p w14:paraId="3466459D" w14:textId="77777777" w:rsidR="00586E12" w:rsidRDefault="00586E12">
                        <w:pPr>
                          <w:rPr>
                            <w:rFonts w:eastAsia="Times New Roman"/>
                          </w:rPr>
                        </w:pPr>
                      </w:p>
                    </w:tc>
                    <w:tc>
                      <w:tcPr>
                        <w:tcW w:w="3450" w:type="dxa"/>
                        <w:tcBorders>
                          <w:top w:val="nil"/>
                          <w:left w:val="nil"/>
                          <w:bottom w:val="nil"/>
                          <w:right w:val="nil"/>
                        </w:tcBorders>
                        <w:vAlign w:val="center"/>
                        <w:hideMark/>
                      </w:tcPr>
                      <w:p w14:paraId="52897804" w14:textId="77777777" w:rsidR="00586E12" w:rsidRDefault="00586E12">
                        <w:pPr>
                          <w:pStyle w:val="Heading1"/>
                          <w:rPr>
                            <w:rFonts w:eastAsia="Times New Roman"/>
                          </w:rPr>
                        </w:pPr>
                        <w:r>
                          <w:rPr>
                            <w:rFonts w:eastAsia="Times New Roman"/>
                          </w:rPr>
                          <w:t>News Alert</w:t>
                        </w:r>
                      </w:p>
                    </w:tc>
                  </w:tr>
                  <w:tr w:rsidR="00586E12" w14:paraId="1AE342B4" w14:textId="77777777">
                    <w:trPr>
                      <w:tblCellSpacing w:w="0" w:type="dxa"/>
                    </w:trPr>
                    <w:tc>
                      <w:tcPr>
                        <w:tcW w:w="0" w:type="auto"/>
                        <w:vMerge/>
                        <w:tcBorders>
                          <w:top w:val="nil"/>
                          <w:left w:val="nil"/>
                          <w:bottom w:val="single" w:sz="2" w:space="0" w:color="FFFFFF"/>
                          <w:right w:val="nil"/>
                        </w:tcBorders>
                        <w:vAlign w:val="center"/>
                        <w:hideMark/>
                      </w:tcPr>
                      <w:p w14:paraId="457F40C9" w14:textId="77777777" w:rsidR="00586E12" w:rsidRDefault="00586E1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DE525AD" w14:textId="77777777" w:rsidR="00586E12" w:rsidRDefault="00586E12">
                        <w:pPr>
                          <w:pStyle w:val="Heading2"/>
                          <w:rPr>
                            <w:rFonts w:eastAsia="Times New Roman"/>
                            <w:color w:val="93378A"/>
                          </w:rPr>
                        </w:pPr>
                        <w:r>
                          <w:rPr>
                            <w:rFonts w:eastAsia="Times New Roman"/>
                            <w:color w:val="93378A"/>
                          </w:rPr>
                          <w:t>Thursday 12th August 2021</w:t>
                        </w:r>
                      </w:p>
                    </w:tc>
                  </w:tr>
                </w:tbl>
                <w:p w14:paraId="1B82B99A" w14:textId="77777777" w:rsidR="00586E12" w:rsidRDefault="00586E12">
                  <w:pPr>
                    <w:rPr>
                      <w:rFonts w:ascii="Times New Roman" w:eastAsia="Times New Roman" w:hAnsi="Times New Roman" w:cs="Times New Roman"/>
                      <w:sz w:val="20"/>
                      <w:szCs w:val="20"/>
                    </w:rPr>
                  </w:pPr>
                </w:p>
              </w:tc>
            </w:tr>
            <w:tr w:rsidR="00586E12" w14:paraId="1B9840A2" w14:textId="77777777">
              <w:tblPrEx>
                <w:shd w:val="clear" w:color="auto" w:fill="auto"/>
              </w:tblPrEx>
              <w:trPr>
                <w:tblCellSpacing w:w="0" w:type="dxa"/>
                <w:jc w:val="center"/>
              </w:trPr>
              <w:tc>
                <w:tcPr>
                  <w:tcW w:w="9000" w:type="dxa"/>
                  <w:hideMark/>
                </w:tcPr>
                <w:p w14:paraId="6B00DFD8" w14:textId="5D9B0A60" w:rsidR="00586E12" w:rsidRDefault="00586E12">
                  <w:pPr>
                    <w:rPr>
                      <w:rFonts w:eastAsia="Times New Roman"/>
                    </w:rPr>
                  </w:pPr>
                  <w:r>
                    <w:rPr>
                      <w:rFonts w:eastAsia="Times New Roman"/>
                      <w:noProof/>
                    </w:rPr>
                    <w:drawing>
                      <wp:inline distT="0" distB="0" distL="0" distR="0" wp14:anchorId="164FBD7C" wp14:editId="04D795D0">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586E12" w14:paraId="7738BF9B"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586E12" w14:paraId="335D7D9F" w14:textId="77777777">
                    <w:trPr>
                      <w:trHeight w:val="75"/>
                      <w:tblCellSpacing w:w="15" w:type="dxa"/>
                      <w:jc w:val="center"/>
                    </w:trPr>
                    <w:tc>
                      <w:tcPr>
                        <w:tcW w:w="150" w:type="dxa"/>
                        <w:vAlign w:val="center"/>
                        <w:hideMark/>
                      </w:tcPr>
                      <w:p w14:paraId="3AF439BA" w14:textId="77777777" w:rsidR="00586E12" w:rsidRDefault="00586E12">
                        <w:pPr>
                          <w:rPr>
                            <w:rFonts w:eastAsia="Times New Roman"/>
                          </w:rPr>
                        </w:pPr>
                      </w:p>
                    </w:tc>
                    <w:tc>
                      <w:tcPr>
                        <w:tcW w:w="8700" w:type="dxa"/>
                        <w:vAlign w:val="center"/>
                        <w:hideMark/>
                      </w:tcPr>
                      <w:p w14:paraId="46577B39" w14:textId="77777777" w:rsidR="00586E12" w:rsidRDefault="00586E12">
                        <w:pPr>
                          <w:rPr>
                            <w:rFonts w:ascii="Times New Roman" w:eastAsia="Times New Roman" w:hAnsi="Times New Roman" w:cs="Times New Roman"/>
                            <w:sz w:val="20"/>
                            <w:szCs w:val="20"/>
                          </w:rPr>
                        </w:pPr>
                      </w:p>
                    </w:tc>
                    <w:tc>
                      <w:tcPr>
                        <w:tcW w:w="150" w:type="dxa"/>
                        <w:vAlign w:val="center"/>
                        <w:hideMark/>
                      </w:tcPr>
                      <w:p w14:paraId="251F0DB4" w14:textId="77777777" w:rsidR="00586E12" w:rsidRDefault="00586E12">
                        <w:pPr>
                          <w:rPr>
                            <w:rFonts w:ascii="Times New Roman" w:eastAsia="Times New Roman" w:hAnsi="Times New Roman" w:cs="Times New Roman"/>
                            <w:sz w:val="20"/>
                            <w:szCs w:val="20"/>
                          </w:rPr>
                        </w:pPr>
                      </w:p>
                    </w:tc>
                  </w:tr>
                  <w:tr w:rsidR="00586E12" w14:paraId="537B7AEA" w14:textId="77777777">
                    <w:trPr>
                      <w:tblCellSpacing w:w="15" w:type="dxa"/>
                      <w:jc w:val="center"/>
                    </w:trPr>
                    <w:tc>
                      <w:tcPr>
                        <w:tcW w:w="150" w:type="dxa"/>
                        <w:vAlign w:val="center"/>
                        <w:hideMark/>
                      </w:tcPr>
                      <w:p w14:paraId="24A8FE53" w14:textId="77777777" w:rsidR="00586E12" w:rsidRDefault="00586E12">
                        <w:pPr>
                          <w:rPr>
                            <w:rFonts w:ascii="Times New Roman" w:eastAsia="Times New Roman" w:hAnsi="Times New Roman" w:cs="Times New Roman"/>
                            <w:sz w:val="20"/>
                            <w:szCs w:val="20"/>
                          </w:rPr>
                        </w:pPr>
                      </w:p>
                    </w:tc>
                    <w:tc>
                      <w:tcPr>
                        <w:tcW w:w="8700" w:type="dxa"/>
                        <w:hideMark/>
                      </w:tcPr>
                      <w:p w14:paraId="02318D86" w14:textId="77777777" w:rsidR="00586E12" w:rsidRDefault="00586E12">
                        <w:pPr>
                          <w:pStyle w:val="Heading2"/>
                          <w:rPr>
                            <w:rFonts w:eastAsia="Times New Roman" w:cs="Arial"/>
                          </w:rPr>
                        </w:pPr>
                        <w:r>
                          <w:rPr>
                            <w:rFonts w:eastAsia="Times New Roman" w:cs="Arial"/>
                          </w:rPr>
                          <w:t>New Pharmacy Quality Scheme for 2021/22 announced</w:t>
                        </w:r>
                      </w:p>
                    </w:tc>
                    <w:tc>
                      <w:tcPr>
                        <w:tcW w:w="150" w:type="dxa"/>
                        <w:vAlign w:val="center"/>
                        <w:hideMark/>
                      </w:tcPr>
                      <w:p w14:paraId="420EF937" w14:textId="77777777" w:rsidR="00586E12" w:rsidRDefault="00586E12">
                        <w:pPr>
                          <w:rPr>
                            <w:rFonts w:eastAsia="Times New Roman" w:cs="Arial"/>
                          </w:rPr>
                        </w:pPr>
                      </w:p>
                    </w:tc>
                  </w:tr>
                  <w:tr w:rsidR="00586E12" w14:paraId="7575E133" w14:textId="77777777">
                    <w:trPr>
                      <w:trHeight w:val="75"/>
                      <w:tblCellSpacing w:w="15" w:type="dxa"/>
                      <w:jc w:val="center"/>
                    </w:trPr>
                    <w:tc>
                      <w:tcPr>
                        <w:tcW w:w="150" w:type="dxa"/>
                        <w:vAlign w:val="center"/>
                        <w:hideMark/>
                      </w:tcPr>
                      <w:p w14:paraId="43273BDF" w14:textId="77777777" w:rsidR="00586E12" w:rsidRDefault="00586E12">
                        <w:pPr>
                          <w:rPr>
                            <w:rFonts w:ascii="Times New Roman" w:eastAsia="Times New Roman" w:hAnsi="Times New Roman" w:cs="Times New Roman"/>
                            <w:sz w:val="20"/>
                            <w:szCs w:val="20"/>
                          </w:rPr>
                        </w:pPr>
                      </w:p>
                    </w:tc>
                    <w:tc>
                      <w:tcPr>
                        <w:tcW w:w="8700" w:type="dxa"/>
                        <w:vAlign w:val="center"/>
                        <w:hideMark/>
                      </w:tcPr>
                      <w:p w14:paraId="5330C42F" w14:textId="77777777" w:rsidR="00586E12" w:rsidRDefault="00586E12">
                        <w:pPr>
                          <w:rPr>
                            <w:rFonts w:ascii="Times New Roman" w:eastAsia="Times New Roman" w:hAnsi="Times New Roman" w:cs="Times New Roman"/>
                            <w:sz w:val="20"/>
                            <w:szCs w:val="20"/>
                          </w:rPr>
                        </w:pPr>
                      </w:p>
                    </w:tc>
                    <w:tc>
                      <w:tcPr>
                        <w:tcW w:w="150" w:type="dxa"/>
                        <w:vAlign w:val="center"/>
                        <w:hideMark/>
                      </w:tcPr>
                      <w:p w14:paraId="10E327AD" w14:textId="77777777" w:rsidR="00586E12" w:rsidRDefault="00586E12">
                        <w:pPr>
                          <w:rPr>
                            <w:rFonts w:ascii="Times New Roman" w:eastAsia="Times New Roman" w:hAnsi="Times New Roman" w:cs="Times New Roman"/>
                            <w:sz w:val="20"/>
                            <w:szCs w:val="20"/>
                          </w:rPr>
                        </w:pPr>
                      </w:p>
                    </w:tc>
                  </w:tr>
                  <w:tr w:rsidR="00586E12" w14:paraId="32302DFD" w14:textId="77777777">
                    <w:trPr>
                      <w:trHeight w:val="15"/>
                      <w:tblCellSpacing w:w="15" w:type="dxa"/>
                      <w:jc w:val="center"/>
                    </w:trPr>
                    <w:tc>
                      <w:tcPr>
                        <w:tcW w:w="150" w:type="dxa"/>
                        <w:shd w:val="clear" w:color="auto" w:fill="513389"/>
                        <w:vAlign w:val="center"/>
                        <w:hideMark/>
                      </w:tcPr>
                      <w:p w14:paraId="464D5B10" w14:textId="77777777" w:rsidR="00586E12" w:rsidRDefault="00586E12">
                        <w:pPr>
                          <w:rPr>
                            <w:rFonts w:ascii="Times New Roman" w:eastAsia="Times New Roman" w:hAnsi="Times New Roman" w:cs="Times New Roman"/>
                            <w:sz w:val="20"/>
                            <w:szCs w:val="20"/>
                          </w:rPr>
                        </w:pPr>
                      </w:p>
                    </w:tc>
                    <w:tc>
                      <w:tcPr>
                        <w:tcW w:w="8700" w:type="dxa"/>
                        <w:shd w:val="clear" w:color="auto" w:fill="513389"/>
                        <w:vAlign w:val="center"/>
                        <w:hideMark/>
                      </w:tcPr>
                      <w:p w14:paraId="20AB4044" w14:textId="77777777" w:rsidR="00586E12" w:rsidRDefault="00586E12">
                        <w:pPr>
                          <w:rPr>
                            <w:rFonts w:ascii="Times New Roman" w:eastAsia="Times New Roman" w:hAnsi="Times New Roman" w:cs="Times New Roman"/>
                            <w:sz w:val="20"/>
                            <w:szCs w:val="20"/>
                          </w:rPr>
                        </w:pPr>
                      </w:p>
                    </w:tc>
                    <w:tc>
                      <w:tcPr>
                        <w:tcW w:w="150" w:type="dxa"/>
                        <w:shd w:val="clear" w:color="auto" w:fill="513389"/>
                        <w:vAlign w:val="center"/>
                        <w:hideMark/>
                      </w:tcPr>
                      <w:p w14:paraId="64CD472B" w14:textId="77777777" w:rsidR="00586E12" w:rsidRDefault="00586E12">
                        <w:pPr>
                          <w:rPr>
                            <w:rFonts w:ascii="Times New Roman" w:eastAsia="Times New Roman" w:hAnsi="Times New Roman" w:cs="Times New Roman"/>
                            <w:sz w:val="20"/>
                            <w:szCs w:val="20"/>
                          </w:rPr>
                        </w:pPr>
                      </w:p>
                    </w:tc>
                  </w:tr>
                  <w:tr w:rsidR="00586E12" w14:paraId="2DAB28C5" w14:textId="77777777">
                    <w:trPr>
                      <w:trHeight w:val="150"/>
                      <w:tblCellSpacing w:w="15" w:type="dxa"/>
                      <w:jc w:val="center"/>
                    </w:trPr>
                    <w:tc>
                      <w:tcPr>
                        <w:tcW w:w="150" w:type="dxa"/>
                        <w:vAlign w:val="center"/>
                        <w:hideMark/>
                      </w:tcPr>
                      <w:p w14:paraId="7D6115ED" w14:textId="77777777" w:rsidR="00586E12" w:rsidRDefault="00586E12">
                        <w:pPr>
                          <w:rPr>
                            <w:rFonts w:ascii="Times New Roman" w:eastAsia="Times New Roman" w:hAnsi="Times New Roman" w:cs="Times New Roman"/>
                            <w:sz w:val="20"/>
                            <w:szCs w:val="20"/>
                          </w:rPr>
                        </w:pPr>
                      </w:p>
                    </w:tc>
                    <w:tc>
                      <w:tcPr>
                        <w:tcW w:w="8700" w:type="dxa"/>
                        <w:vAlign w:val="center"/>
                        <w:hideMark/>
                      </w:tcPr>
                      <w:p w14:paraId="10932F32" w14:textId="77777777" w:rsidR="00586E12" w:rsidRDefault="00586E12">
                        <w:pPr>
                          <w:rPr>
                            <w:rFonts w:ascii="Times New Roman" w:eastAsia="Times New Roman" w:hAnsi="Times New Roman" w:cs="Times New Roman"/>
                            <w:sz w:val="20"/>
                            <w:szCs w:val="20"/>
                          </w:rPr>
                        </w:pPr>
                      </w:p>
                    </w:tc>
                    <w:tc>
                      <w:tcPr>
                        <w:tcW w:w="150" w:type="dxa"/>
                        <w:vAlign w:val="center"/>
                        <w:hideMark/>
                      </w:tcPr>
                      <w:p w14:paraId="79863BA5" w14:textId="77777777" w:rsidR="00586E12" w:rsidRDefault="00586E12">
                        <w:pPr>
                          <w:rPr>
                            <w:rFonts w:ascii="Times New Roman" w:eastAsia="Times New Roman" w:hAnsi="Times New Roman" w:cs="Times New Roman"/>
                            <w:sz w:val="20"/>
                            <w:szCs w:val="20"/>
                          </w:rPr>
                        </w:pPr>
                      </w:p>
                    </w:tc>
                  </w:tr>
                  <w:tr w:rsidR="00586E12" w14:paraId="52D1CB6A" w14:textId="77777777">
                    <w:trPr>
                      <w:tblCellSpacing w:w="15" w:type="dxa"/>
                      <w:jc w:val="center"/>
                    </w:trPr>
                    <w:tc>
                      <w:tcPr>
                        <w:tcW w:w="150" w:type="dxa"/>
                        <w:vAlign w:val="center"/>
                        <w:hideMark/>
                      </w:tcPr>
                      <w:p w14:paraId="1A47E2EA" w14:textId="77777777" w:rsidR="00586E12" w:rsidRDefault="00586E12">
                        <w:pPr>
                          <w:rPr>
                            <w:rFonts w:ascii="Times New Roman" w:eastAsia="Times New Roman" w:hAnsi="Times New Roman" w:cs="Times New Roman"/>
                            <w:sz w:val="20"/>
                            <w:szCs w:val="20"/>
                          </w:rPr>
                        </w:pPr>
                      </w:p>
                    </w:tc>
                    <w:tc>
                      <w:tcPr>
                        <w:tcW w:w="8700" w:type="dxa"/>
                        <w:vAlign w:val="center"/>
                        <w:hideMark/>
                      </w:tcPr>
                      <w:p w14:paraId="52D8DA36" w14:textId="77777777" w:rsidR="00586E12" w:rsidRDefault="00586E12" w:rsidP="00586E12">
                        <w:pPr>
                          <w:pStyle w:val="NormalWeb"/>
                          <w:spacing w:line="264" w:lineRule="auto"/>
                          <w:rPr>
                            <w:rFonts w:ascii="Tahoma" w:hAnsi="Tahoma" w:cs="Tahoma"/>
                            <w:color w:val="303030"/>
                            <w:sz w:val="21"/>
                            <w:szCs w:val="21"/>
                          </w:rPr>
                        </w:pPr>
                        <w:r>
                          <w:rPr>
                            <w:rFonts w:ascii="Tahoma" w:hAnsi="Tahoma" w:cs="Tahoma"/>
                            <w:color w:val="303030"/>
                            <w:sz w:val="21"/>
                            <w:szCs w:val="21"/>
                          </w:rPr>
                          <w:t>Initial details of the new Pharmacy Quality Scheme (PQS) for this year have been released today.</w:t>
                        </w:r>
                      </w:p>
                      <w:p w14:paraId="64383417" w14:textId="77777777" w:rsidR="00586E12" w:rsidRDefault="00586E12" w:rsidP="00586E12">
                        <w:pPr>
                          <w:pStyle w:val="NormalWeb"/>
                          <w:spacing w:line="264" w:lineRule="auto"/>
                          <w:rPr>
                            <w:rFonts w:ascii="Tahoma" w:hAnsi="Tahoma" w:cs="Tahoma"/>
                            <w:color w:val="303030"/>
                            <w:sz w:val="21"/>
                            <w:szCs w:val="21"/>
                          </w:rPr>
                        </w:pPr>
                        <w:r>
                          <w:rPr>
                            <w:rFonts w:ascii="Tahoma" w:hAnsi="Tahoma" w:cs="Tahoma"/>
                            <w:color w:val="303030"/>
                            <w:sz w:val="21"/>
                            <w:szCs w:val="21"/>
                          </w:rPr>
                          <w:t>PSNC, the Department of Health and Social Care (DHSC) and NHS England and NHS Improvement (NHSE&amp;I) have agreed the arrangements for the 2021/22 scheme, with a focus on priorities supporting recovery from COVID-19.</w:t>
                        </w:r>
                      </w:p>
                      <w:p w14:paraId="5B333477" w14:textId="77777777" w:rsidR="00586E12" w:rsidRDefault="00586E12" w:rsidP="00586E12">
                        <w:pPr>
                          <w:pStyle w:val="NormalWeb"/>
                          <w:spacing w:line="264" w:lineRule="auto"/>
                          <w:rPr>
                            <w:rFonts w:ascii="Tahoma" w:hAnsi="Tahoma" w:cs="Tahoma"/>
                            <w:color w:val="303030"/>
                            <w:sz w:val="21"/>
                            <w:szCs w:val="21"/>
                          </w:rPr>
                        </w:pPr>
                        <w:r>
                          <w:rPr>
                            <w:rFonts w:ascii="Tahoma" w:hAnsi="Tahoma" w:cs="Tahoma"/>
                            <w:color w:val="303030"/>
                            <w:sz w:val="21"/>
                            <w:szCs w:val="21"/>
                          </w:rPr>
                          <w:t>The scheme will officially begin on 1st September 2021 with a declaration period in February 2022. As with previous schemes, it has £75m funding available and contractors will be able to claim an Aspiration payment if they wish to, later this year.</w:t>
                        </w:r>
                      </w:p>
                      <w:p w14:paraId="56709877" w14:textId="77777777" w:rsidR="00586E12" w:rsidRDefault="00586E12" w:rsidP="00586E12">
                        <w:pPr>
                          <w:pStyle w:val="NormalWeb"/>
                          <w:spacing w:line="264" w:lineRule="auto"/>
                          <w:rPr>
                            <w:rFonts w:ascii="Tahoma" w:hAnsi="Tahoma" w:cs="Tahoma"/>
                            <w:color w:val="303030"/>
                            <w:sz w:val="21"/>
                            <w:szCs w:val="21"/>
                          </w:rPr>
                        </w:pPr>
                        <w:r>
                          <w:rPr>
                            <w:rFonts w:ascii="Tahoma" w:hAnsi="Tahoma" w:cs="Tahoma"/>
                            <w:color w:val="303030"/>
                            <w:sz w:val="21"/>
                            <w:szCs w:val="21"/>
                          </w:rPr>
                          <w:t>In our negotiations on the scheme, a key win for PSNC was reducing the scope of this year's PQS so that the estimated contractor costs and time required to complete the criteria will be well below those associated with the original NHS proposal for the scheme. PSNC hopes that this, along with arguing for more realistic targets across the scheme, will help reduce the impact on contractor workload, at what continues to be a very busy period for the sector.</w:t>
                        </w:r>
                      </w:p>
                      <w:p w14:paraId="3895E1E6" w14:textId="77777777" w:rsidR="00586E12" w:rsidRDefault="00586E12" w:rsidP="00586E1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Much of the detail has been published via an announcement on the NHSBSA website and the remaining details will be published in the September 2021 Drug Tariff. The announcement outlines what will be included in the PQS this year, noting:</w:t>
                        </w:r>
                      </w:p>
                      <w:p w14:paraId="69081822" w14:textId="77777777" w:rsidR="00586E12" w:rsidRDefault="00586E12" w:rsidP="00586E12">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Gateway criteria of at least 20 NMS, patient safety and COVID-19 risk management requirements, plus training on LASA errors and </w:t>
                        </w:r>
                        <w:proofErr w:type="gramStart"/>
                        <w:r>
                          <w:rPr>
                            <w:rFonts w:ascii="Tahoma" w:eastAsia="Times New Roman" w:hAnsi="Tahoma" w:cs="Tahoma"/>
                            <w:color w:val="303030"/>
                            <w:sz w:val="21"/>
                            <w:szCs w:val="21"/>
                          </w:rPr>
                          <w:t>sepsis;</w:t>
                        </w:r>
                        <w:proofErr w:type="gramEnd"/>
                      </w:p>
                      <w:p w14:paraId="7692B98C" w14:textId="77777777" w:rsidR="00586E12" w:rsidRDefault="00586E12" w:rsidP="00586E12">
                        <w:pPr>
                          <w:numPr>
                            <w:ilvl w:val="0"/>
                            <w:numId w:val="1"/>
                          </w:numPr>
                          <w:spacing w:before="100" w:beforeAutospacing="1" w:after="100" w:afterAutospacing="1"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Identifying people who would benefit from weight management advice and onward </w:t>
                        </w:r>
                        <w:proofErr w:type="gramStart"/>
                        <w:r>
                          <w:rPr>
                            <w:rFonts w:ascii="Tahoma" w:eastAsia="Times New Roman" w:hAnsi="Tahoma" w:cs="Tahoma"/>
                            <w:color w:val="303030"/>
                            <w:sz w:val="21"/>
                            <w:szCs w:val="21"/>
                          </w:rPr>
                          <w:t>referral;</w:t>
                        </w:r>
                        <w:proofErr w:type="gramEnd"/>
                      </w:p>
                      <w:p w14:paraId="75E530F5" w14:textId="77777777" w:rsidR="00586E12" w:rsidRDefault="00586E12" w:rsidP="00586E12">
                        <w:pPr>
                          <w:numPr>
                            <w:ilvl w:val="0"/>
                            <w:numId w:val="1"/>
                          </w:numPr>
                          <w:spacing w:before="100" w:beforeAutospacing="1" w:after="100" w:afterAutospacing="1"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Training on health inequalities and producing an action plan to actively promote COVID-19 </w:t>
                        </w:r>
                        <w:proofErr w:type="gramStart"/>
                        <w:r>
                          <w:rPr>
                            <w:rFonts w:ascii="Tahoma" w:eastAsia="Times New Roman" w:hAnsi="Tahoma" w:cs="Tahoma"/>
                            <w:color w:val="303030"/>
                            <w:sz w:val="21"/>
                            <w:szCs w:val="21"/>
                          </w:rPr>
                          <w:t>vaccinations;</w:t>
                        </w:r>
                        <w:proofErr w:type="gramEnd"/>
                      </w:p>
                      <w:p w14:paraId="74942601" w14:textId="77777777" w:rsidR="00586E12" w:rsidRDefault="00586E12" w:rsidP="00586E12">
                        <w:pPr>
                          <w:numPr>
                            <w:ilvl w:val="0"/>
                            <w:numId w:val="1"/>
                          </w:numPr>
                          <w:spacing w:before="100" w:beforeAutospacing="1" w:after="100" w:afterAutospacing="1"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Training to develop remote consultation </w:t>
                        </w:r>
                        <w:proofErr w:type="gramStart"/>
                        <w:r>
                          <w:rPr>
                            <w:rFonts w:ascii="Tahoma" w:eastAsia="Times New Roman" w:hAnsi="Tahoma" w:cs="Tahoma"/>
                            <w:color w:val="303030"/>
                            <w:sz w:val="21"/>
                            <w:szCs w:val="21"/>
                          </w:rPr>
                          <w:t>skills;</w:t>
                        </w:r>
                        <w:proofErr w:type="gramEnd"/>
                      </w:p>
                      <w:p w14:paraId="7282F011" w14:textId="77777777" w:rsidR="00586E12" w:rsidRDefault="00586E12" w:rsidP="00586E12">
                        <w:pPr>
                          <w:numPr>
                            <w:ilvl w:val="0"/>
                            <w:numId w:val="1"/>
                          </w:numPr>
                          <w:spacing w:before="100" w:beforeAutospacing="1" w:after="100" w:afterAutospacing="1"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Enhancing antimicrobial stewardship using the Target antibiotic </w:t>
                        </w:r>
                        <w:proofErr w:type="gramStart"/>
                        <w:r>
                          <w:rPr>
                            <w:rFonts w:ascii="Tahoma" w:eastAsia="Times New Roman" w:hAnsi="Tahoma" w:cs="Tahoma"/>
                            <w:color w:val="303030"/>
                            <w:sz w:val="21"/>
                            <w:szCs w:val="21"/>
                          </w:rPr>
                          <w:t>checklist;</w:t>
                        </w:r>
                        <w:proofErr w:type="gramEnd"/>
                      </w:p>
                      <w:p w14:paraId="2440B82F" w14:textId="77777777" w:rsidR="00586E12" w:rsidRDefault="00586E12" w:rsidP="00586E12">
                        <w:pPr>
                          <w:numPr>
                            <w:ilvl w:val="0"/>
                            <w:numId w:val="1"/>
                          </w:numPr>
                          <w:spacing w:before="100" w:beforeAutospacing="1" w:after="100" w:afterAutospacing="1"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An anticoagulant audit to enhance patient </w:t>
                        </w:r>
                        <w:proofErr w:type="gramStart"/>
                        <w:r>
                          <w:rPr>
                            <w:rFonts w:ascii="Tahoma" w:eastAsia="Times New Roman" w:hAnsi="Tahoma" w:cs="Tahoma"/>
                            <w:color w:val="303030"/>
                            <w:sz w:val="21"/>
                            <w:szCs w:val="21"/>
                          </w:rPr>
                          <w:t>safety;</w:t>
                        </w:r>
                        <w:proofErr w:type="gramEnd"/>
                      </w:p>
                      <w:p w14:paraId="61E6AE3A" w14:textId="77777777" w:rsidR="00586E12" w:rsidRDefault="00586E12" w:rsidP="00586E12">
                        <w:pPr>
                          <w:numPr>
                            <w:ilvl w:val="0"/>
                            <w:numId w:val="1"/>
                          </w:numPr>
                          <w:spacing w:before="100" w:beforeAutospacing="1" w:after="100" w:afterAutospacing="1" w:line="264" w:lineRule="auto"/>
                          <w:rPr>
                            <w:rFonts w:ascii="Tahoma" w:eastAsia="Times New Roman" w:hAnsi="Tahoma" w:cs="Tahoma"/>
                            <w:color w:val="303030"/>
                            <w:sz w:val="21"/>
                            <w:szCs w:val="21"/>
                          </w:rPr>
                        </w:pPr>
                        <w:r>
                          <w:rPr>
                            <w:rFonts w:ascii="Tahoma" w:eastAsia="Times New Roman" w:hAnsi="Tahoma" w:cs="Tahoma"/>
                            <w:color w:val="303030"/>
                            <w:sz w:val="21"/>
                            <w:szCs w:val="21"/>
                          </w:rPr>
                          <w:t>Engagement with PCNs to increase flu vaccination uptake; and</w:t>
                        </w:r>
                      </w:p>
                      <w:p w14:paraId="69B6C806" w14:textId="77777777" w:rsidR="00586E12" w:rsidRDefault="00586E12" w:rsidP="00586E12">
                        <w:pPr>
                          <w:numPr>
                            <w:ilvl w:val="0"/>
                            <w:numId w:val="1"/>
                          </w:numPr>
                          <w:spacing w:before="100" w:beforeAutospacing="1" w:after="100" w:afterAutospacing="1" w:line="264" w:lineRule="auto"/>
                          <w:rPr>
                            <w:rFonts w:ascii="Tahoma" w:eastAsia="Times New Roman" w:hAnsi="Tahoma" w:cs="Tahoma"/>
                            <w:color w:val="303030"/>
                            <w:sz w:val="21"/>
                            <w:szCs w:val="21"/>
                          </w:rPr>
                        </w:pPr>
                        <w:r>
                          <w:rPr>
                            <w:rFonts w:ascii="Tahoma" w:eastAsia="Times New Roman" w:hAnsi="Tahoma" w:cs="Tahoma"/>
                            <w:color w:val="303030"/>
                            <w:sz w:val="21"/>
                            <w:szCs w:val="21"/>
                          </w:rPr>
                          <w:t>Checking inhaler technique (as part of catch-up NMS) and ensuring patients have personalised asthma action plans, as well as encouraging return of unwanted and used inhalers for environmentally safe disposal.</w:t>
                        </w:r>
                      </w:p>
                      <w:p w14:paraId="24249008" w14:textId="77777777" w:rsidR="00586E12" w:rsidRDefault="00586E12" w:rsidP="00586E12">
                        <w:pPr>
                          <w:pStyle w:val="NormalWeb"/>
                          <w:spacing w:line="264" w:lineRule="auto"/>
                          <w:rPr>
                            <w:rFonts w:ascii="Tahoma" w:hAnsi="Tahoma" w:cs="Tahoma"/>
                            <w:color w:val="303030"/>
                            <w:sz w:val="21"/>
                            <w:szCs w:val="21"/>
                          </w:rPr>
                        </w:pPr>
                        <w:hyperlink r:id="rId9" w:tgtFrame="_blank" w:history="1">
                          <w:r>
                            <w:rPr>
                              <w:rStyle w:val="Hyperlink"/>
                              <w:rFonts w:ascii="Tahoma" w:hAnsi="Tahoma" w:cs="Tahoma"/>
                              <w:b/>
                              <w:bCs/>
                              <w:color w:val="4E3487"/>
                              <w:sz w:val="21"/>
                              <w:szCs w:val="21"/>
                            </w:rPr>
                            <w:t>Read the PQS 2021/22 announcement in full</w:t>
                          </w:r>
                        </w:hyperlink>
                      </w:p>
                    </w:tc>
                    <w:tc>
                      <w:tcPr>
                        <w:tcW w:w="150" w:type="dxa"/>
                        <w:vAlign w:val="center"/>
                        <w:hideMark/>
                      </w:tcPr>
                      <w:p w14:paraId="29B6546E" w14:textId="77777777" w:rsidR="00586E12" w:rsidRDefault="00586E12">
                        <w:pPr>
                          <w:rPr>
                            <w:rFonts w:ascii="Tahoma" w:hAnsi="Tahoma" w:cs="Tahoma"/>
                            <w:color w:val="303030"/>
                            <w:sz w:val="21"/>
                            <w:szCs w:val="21"/>
                          </w:rPr>
                        </w:pPr>
                      </w:p>
                    </w:tc>
                  </w:tr>
                  <w:tr w:rsidR="00586E12" w14:paraId="0BC71338" w14:textId="77777777">
                    <w:trPr>
                      <w:trHeight w:val="150"/>
                      <w:tblCellSpacing w:w="15" w:type="dxa"/>
                      <w:jc w:val="center"/>
                    </w:trPr>
                    <w:tc>
                      <w:tcPr>
                        <w:tcW w:w="150" w:type="dxa"/>
                        <w:vAlign w:val="center"/>
                        <w:hideMark/>
                      </w:tcPr>
                      <w:p w14:paraId="557577F9" w14:textId="77777777" w:rsidR="00586E12" w:rsidRDefault="00586E12">
                        <w:pPr>
                          <w:rPr>
                            <w:rFonts w:ascii="Times New Roman" w:eastAsia="Times New Roman" w:hAnsi="Times New Roman" w:cs="Times New Roman"/>
                            <w:sz w:val="20"/>
                            <w:szCs w:val="20"/>
                          </w:rPr>
                        </w:pPr>
                      </w:p>
                    </w:tc>
                    <w:tc>
                      <w:tcPr>
                        <w:tcW w:w="8700" w:type="dxa"/>
                        <w:vAlign w:val="center"/>
                        <w:hideMark/>
                      </w:tcPr>
                      <w:p w14:paraId="16887CD4" w14:textId="77777777" w:rsidR="00586E12" w:rsidRDefault="00586E12">
                        <w:pPr>
                          <w:rPr>
                            <w:rFonts w:ascii="Times New Roman" w:eastAsia="Times New Roman" w:hAnsi="Times New Roman" w:cs="Times New Roman"/>
                            <w:sz w:val="20"/>
                            <w:szCs w:val="20"/>
                          </w:rPr>
                        </w:pPr>
                      </w:p>
                    </w:tc>
                    <w:tc>
                      <w:tcPr>
                        <w:tcW w:w="150" w:type="dxa"/>
                        <w:vAlign w:val="center"/>
                        <w:hideMark/>
                      </w:tcPr>
                      <w:p w14:paraId="0D297DAD" w14:textId="77777777" w:rsidR="00586E12" w:rsidRDefault="00586E12">
                        <w:pPr>
                          <w:rPr>
                            <w:rFonts w:ascii="Times New Roman" w:eastAsia="Times New Roman" w:hAnsi="Times New Roman" w:cs="Times New Roman"/>
                            <w:sz w:val="20"/>
                            <w:szCs w:val="20"/>
                          </w:rPr>
                        </w:pPr>
                      </w:p>
                    </w:tc>
                  </w:tr>
                </w:tbl>
                <w:p w14:paraId="6F38F5C0" w14:textId="77777777" w:rsidR="00586E12" w:rsidRDefault="00586E12">
                  <w:pPr>
                    <w:jc w:val="center"/>
                    <w:rPr>
                      <w:rFonts w:ascii="Times New Roman" w:eastAsia="Times New Roman" w:hAnsi="Times New Roman" w:cs="Times New Roman"/>
                      <w:sz w:val="20"/>
                      <w:szCs w:val="20"/>
                    </w:rPr>
                  </w:pPr>
                </w:p>
              </w:tc>
            </w:tr>
          </w:tbl>
          <w:p w14:paraId="571B9D0F" w14:textId="77777777" w:rsidR="00586E12" w:rsidRDefault="00586E12">
            <w:pPr>
              <w:jc w:val="center"/>
              <w:rPr>
                <w:rFonts w:ascii="Times New Roman" w:eastAsia="Times New Roman" w:hAnsi="Times New Roman" w:cs="Times New Roman"/>
                <w:sz w:val="20"/>
                <w:szCs w:val="20"/>
              </w:rPr>
            </w:pPr>
          </w:p>
        </w:tc>
      </w:tr>
    </w:tbl>
    <w:p w14:paraId="4A0A842D"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B70B6"/>
    <w:multiLevelType w:val="multilevel"/>
    <w:tmpl w:val="95F45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E12"/>
    <w:rsid w:val="00586E1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B9DD"/>
  <w15:chartTrackingRefBased/>
  <w15:docId w15:val="{534AEDBD-E50A-4D16-9343-6E0F249E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E12"/>
    <w:rPr>
      <w:rFonts w:ascii="Calibri" w:hAnsi="Calibri" w:cs="Calibri"/>
      <w:lang w:eastAsia="en-GB"/>
    </w:rPr>
  </w:style>
  <w:style w:type="paragraph" w:styleId="Heading1">
    <w:name w:val="heading 1"/>
    <w:basedOn w:val="Normal"/>
    <w:link w:val="Heading1Char"/>
    <w:uiPriority w:val="9"/>
    <w:qFormat/>
    <w:rsid w:val="00586E12"/>
    <w:pPr>
      <w:spacing w:after="75" w:line="264" w:lineRule="auto"/>
      <w:outlineLvl w:val="0"/>
    </w:pPr>
    <w:rPr>
      <w:rFonts w:ascii="Tahoma" w:hAnsi="Tahoma" w:cs="Tahoma"/>
      <w:b/>
      <w:bCs/>
      <w:color w:val="4E3487"/>
      <w:kern w:val="36"/>
      <w:sz w:val="63"/>
      <w:szCs w:val="63"/>
    </w:rPr>
  </w:style>
  <w:style w:type="paragraph" w:styleId="Heading2">
    <w:name w:val="heading 2"/>
    <w:basedOn w:val="Normal"/>
    <w:link w:val="Heading2Char"/>
    <w:uiPriority w:val="9"/>
    <w:semiHidden/>
    <w:unhideWhenUsed/>
    <w:qFormat/>
    <w:rsid w:val="00586E12"/>
    <w:pPr>
      <w:spacing w:after="75" w:line="264" w:lineRule="auto"/>
      <w:outlineLvl w:val="1"/>
    </w:pPr>
    <w:rPr>
      <w:rFonts w:ascii="Lucida Sans" w:hAnsi="Lucida Sans"/>
      <w:b/>
      <w:bCs/>
      <w:color w:val="4E3487"/>
      <w:sz w:val="30"/>
      <w:szCs w:val="30"/>
    </w:rPr>
  </w:style>
  <w:style w:type="paragraph" w:styleId="Heading4">
    <w:name w:val="heading 4"/>
    <w:basedOn w:val="Normal"/>
    <w:link w:val="Heading4Char"/>
    <w:uiPriority w:val="9"/>
    <w:semiHidden/>
    <w:unhideWhenUsed/>
    <w:qFormat/>
    <w:rsid w:val="00586E1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E12"/>
    <w:rPr>
      <w:rFonts w:ascii="Tahoma" w:hAnsi="Tahoma" w:cs="Tahoma"/>
      <w:b/>
      <w:bCs/>
      <w:color w:val="4E3487"/>
      <w:kern w:val="36"/>
      <w:sz w:val="63"/>
      <w:szCs w:val="63"/>
      <w:lang w:eastAsia="en-GB"/>
    </w:rPr>
  </w:style>
  <w:style w:type="character" w:customStyle="1" w:styleId="Heading2Char">
    <w:name w:val="Heading 2 Char"/>
    <w:basedOn w:val="DefaultParagraphFont"/>
    <w:link w:val="Heading2"/>
    <w:uiPriority w:val="9"/>
    <w:semiHidden/>
    <w:rsid w:val="00586E12"/>
    <w:rPr>
      <w:rFonts w:ascii="Lucida Sans" w:hAnsi="Lucida Sans" w:cs="Calibri"/>
      <w:b/>
      <w:bCs/>
      <w:color w:val="4E3487"/>
      <w:sz w:val="30"/>
      <w:szCs w:val="30"/>
      <w:lang w:eastAsia="en-GB"/>
    </w:rPr>
  </w:style>
  <w:style w:type="character" w:customStyle="1" w:styleId="Heading4Char">
    <w:name w:val="Heading 4 Char"/>
    <w:basedOn w:val="DefaultParagraphFont"/>
    <w:link w:val="Heading4"/>
    <w:uiPriority w:val="9"/>
    <w:semiHidden/>
    <w:rsid w:val="00586E12"/>
    <w:rPr>
      <w:rFonts w:ascii="Tahoma" w:hAnsi="Tahoma" w:cs="Tahoma"/>
      <w:b/>
      <w:bCs/>
      <w:color w:val="FFFFFF"/>
      <w:sz w:val="18"/>
      <w:szCs w:val="18"/>
      <w:lang w:eastAsia="en-GB"/>
    </w:rPr>
  </w:style>
  <w:style w:type="paragraph" w:styleId="NormalWeb">
    <w:name w:val="Normal (Web)"/>
    <w:basedOn w:val="Normal"/>
    <w:uiPriority w:val="99"/>
    <w:semiHidden/>
    <w:unhideWhenUsed/>
    <w:rsid w:val="00586E12"/>
    <w:pPr>
      <w:spacing w:before="100" w:beforeAutospacing="1" w:after="100" w:afterAutospacing="1"/>
    </w:pPr>
  </w:style>
  <w:style w:type="character" w:styleId="Strong">
    <w:name w:val="Strong"/>
    <w:basedOn w:val="DefaultParagraphFont"/>
    <w:uiPriority w:val="22"/>
    <w:qFormat/>
    <w:rsid w:val="00586E12"/>
    <w:rPr>
      <w:b/>
      <w:bCs/>
    </w:rPr>
  </w:style>
  <w:style w:type="character" w:styleId="Hyperlink">
    <w:name w:val="Hyperlink"/>
    <w:basedOn w:val="DefaultParagraphFont"/>
    <w:uiPriority w:val="99"/>
    <w:semiHidden/>
    <w:unhideWhenUsed/>
    <w:rsid w:val="00586E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87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9ec64a15e5&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2021-08-12T15:18:00Z</dcterms:created>
  <dcterms:modified xsi:type="dcterms:W3CDTF">2021-08-12T15:20:00Z</dcterms:modified>
</cp:coreProperties>
</file>