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82EFF" w14:paraId="3D700676" w14:textId="77777777" w:rsidTr="00882EFF">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82EFF" w14:paraId="362D7742"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82EFF" w14:paraId="5D346254" w14:textId="77777777">
                    <w:trPr>
                      <w:tblCellSpacing w:w="0" w:type="dxa"/>
                      <w:jc w:val="center"/>
                    </w:trPr>
                    <w:tc>
                      <w:tcPr>
                        <w:tcW w:w="3000" w:type="dxa"/>
                        <w:hideMark/>
                      </w:tcPr>
                      <w:p w14:paraId="00C69450" w14:textId="2BE4D16B" w:rsidR="00882EFF" w:rsidRDefault="00882EFF" w:rsidP="00882EFF">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DAD233C" w14:textId="77777777" w:rsidR="00882EFF" w:rsidRDefault="00882EFF">
                  <w:pPr>
                    <w:jc w:val="center"/>
                    <w:rPr>
                      <w:rFonts w:ascii="Times New Roman" w:eastAsia="Times New Roman" w:hAnsi="Times New Roman" w:cs="Times New Roman"/>
                      <w:sz w:val="20"/>
                      <w:szCs w:val="20"/>
                    </w:rPr>
                  </w:pPr>
                </w:p>
              </w:tc>
            </w:tr>
            <w:tr w:rsidR="00882EFF" w14:paraId="4E093EEC"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82EFF" w14:paraId="2BD79D86"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36B3D3F8" w14:textId="358B819C" w:rsidR="00882EFF" w:rsidRDefault="00882EFF">
                        <w:pPr>
                          <w:jc w:val="center"/>
                          <w:rPr>
                            <w:rFonts w:eastAsia="Times New Roman"/>
                          </w:rPr>
                        </w:pPr>
                        <w:r>
                          <w:rPr>
                            <w:rFonts w:eastAsia="Times New Roman"/>
                            <w:noProof/>
                          </w:rPr>
                          <w:drawing>
                            <wp:inline distT="0" distB="0" distL="0" distR="0" wp14:anchorId="24F80BC3" wp14:editId="26B980B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882EFF" w14:paraId="778F35F8" w14:textId="77777777">
                    <w:trPr>
                      <w:tblCellSpacing w:w="0" w:type="dxa"/>
                    </w:trPr>
                    <w:tc>
                      <w:tcPr>
                        <w:tcW w:w="0" w:type="auto"/>
                        <w:vMerge/>
                        <w:tcBorders>
                          <w:top w:val="nil"/>
                          <w:left w:val="nil"/>
                          <w:bottom w:val="single" w:sz="2" w:space="0" w:color="FFFFFF"/>
                          <w:right w:val="nil"/>
                        </w:tcBorders>
                        <w:vAlign w:val="center"/>
                        <w:hideMark/>
                      </w:tcPr>
                      <w:p w14:paraId="09C2DBA6" w14:textId="77777777" w:rsidR="00882EFF" w:rsidRDefault="00882EFF">
                        <w:pPr>
                          <w:rPr>
                            <w:rFonts w:eastAsia="Times New Roman"/>
                          </w:rPr>
                        </w:pPr>
                      </w:p>
                    </w:tc>
                    <w:tc>
                      <w:tcPr>
                        <w:tcW w:w="3450" w:type="dxa"/>
                        <w:tcBorders>
                          <w:top w:val="nil"/>
                          <w:left w:val="nil"/>
                          <w:bottom w:val="nil"/>
                          <w:right w:val="nil"/>
                        </w:tcBorders>
                        <w:vAlign w:val="center"/>
                        <w:hideMark/>
                      </w:tcPr>
                      <w:p w14:paraId="13712B1A" w14:textId="77777777" w:rsidR="00882EFF" w:rsidRDefault="00882EFF">
                        <w:pPr>
                          <w:pStyle w:val="Heading1"/>
                          <w:rPr>
                            <w:rFonts w:eastAsia="Times New Roman"/>
                          </w:rPr>
                        </w:pPr>
                        <w:r>
                          <w:rPr>
                            <w:rFonts w:eastAsia="Times New Roman"/>
                          </w:rPr>
                          <w:t>PSNC Newsletter</w:t>
                        </w:r>
                      </w:p>
                    </w:tc>
                  </w:tr>
                  <w:tr w:rsidR="00882EFF" w14:paraId="616D8DF0" w14:textId="77777777">
                    <w:trPr>
                      <w:tblCellSpacing w:w="0" w:type="dxa"/>
                    </w:trPr>
                    <w:tc>
                      <w:tcPr>
                        <w:tcW w:w="0" w:type="auto"/>
                        <w:vMerge/>
                        <w:tcBorders>
                          <w:top w:val="nil"/>
                          <w:left w:val="nil"/>
                          <w:bottom w:val="single" w:sz="2" w:space="0" w:color="FFFFFF"/>
                          <w:right w:val="nil"/>
                        </w:tcBorders>
                        <w:vAlign w:val="center"/>
                        <w:hideMark/>
                      </w:tcPr>
                      <w:p w14:paraId="4C166DC5" w14:textId="77777777" w:rsidR="00882EFF" w:rsidRDefault="00882EF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37DF004" w14:textId="77777777" w:rsidR="00882EFF" w:rsidRDefault="00882EFF">
                        <w:pPr>
                          <w:pStyle w:val="Heading2"/>
                          <w:rPr>
                            <w:rFonts w:eastAsia="Times New Roman"/>
                            <w:color w:val="93378A"/>
                          </w:rPr>
                        </w:pPr>
                        <w:r>
                          <w:rPr>
                            <w:rFonts w:eastAsia="Times New Roman"/>
                            <w:color w:val="93378A"/>
                          </w:rPr>
                          <w:t>Tuesday 3rd August 2021</w:t>
                        </w:r>
                      </w:p>
                    </w:tc>
                  </w:tr>
                </w:tbl>
                <w:p w14:paraId="42EB0AC7" w14:textId="77777777" w:rsidR="00882EFF" w:rsidRDefault="00882EFF">
                  <w:pPr>
                    <w:rPr>
                      <w:rFonts w:ascii="Times New Roman" w:eastAsia="Times New Roman" w:hAnsi="Times New Roman" w:cs="Times New Roman"/>
                      <w:sz w:val="20"/>
                      <w:szCs w:val="20"/>
                    </w:rPr>
                  </w:pPr>
                </w:p>
              </w:tc>
            </w:tr>
            <w:tr w:rsidR="00882EFF" w14:paraId="7D5A07C3" w14:textId="77777777">
              <w:tblPrEx>
                <w:shd w:val="clear" w:color="auto" w:fill="auto"/>
              </w:tblPrEx>
              <w:trPr>
                <w:tblCellSpacing w:w="0" w:type="dxa"/>
                <w:jc w:val="center"/>
              </w:trPr>
              <w:tc>
                <w:tcPr>
                  <w:tcW w:w="9000" w:type="dxa"/>
                  <w:hideMark/>
                </w:tcPr>
                <w:p w14:paraId="53BFBA47" w14:textId="18CB18B0" w:rsidR="00882EFF" w:rsidRDefault="00882EFF">
                  <w:pPr>
                    <w:rPr>
                      <w:rFonts w:eastAsia="Times New Roman"/>
                    </w:rPr>
                  </w:pPr>
                  <w:r>
                    <w:rPr>
                      <w:rFonts w:eastAsia="Times New Roman"/>
                      <w:noProof/>
                    </w:rPr>
                    <w:drawing>
                      <wp:inline distT="0" distB="0" distL="0" distR="0" wp14:anchorId="5AE7FC8C" wp14:editId="52762089">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882EFF" w14:paraId="654E66E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882EFF" w14:paraId="5EB36B1A" w14:textId="77777777">
                    <w:trPr>
                      <w:trHeight w:val="150"/>
                      <w:tblCellSpacing w:w="15" w:type="dxa"/>
                      <w:jc w:val="center"/>
                    </w:trPr>
                    <w:tc>
                      <w:tcPr>
                        <w:tcW w:w="150" w:type="dxa"/>
                        <w:vAlign w:val="center"/>
                        <w:hideMark/>
                      </w:tcPr>
                      <w:p w14:paraId="01E8B91B" w14:textId="77777777" w:rsidR="00882EFF" w:rsidRDefault="00882EFF">
                        <w:pPr>
                          <w:rPr>
                            <w:rFonts w:eastAsia="Times New Roman"/>
                          </w:rPr>
                        </w:pPr>
                      </w:p>
                    </w:tc>
                    <w:tc>
                      <w:tcPr>
                        <w:tcW w:w="8700" w:type="dxa"/>
                        <w:vAlign w:val="center"/>
                        <w:hideMark/>
                      </w:tcPr>
                      <w:p w14:paraId="5811FEA0" w14:textId="77777777" w:rsidR="00882EFF" w:rsidRDefault="00882EFF">
                        <w:pPr>
                          <w:rPr>
                            <w:rFonts w:ascii="Times New Roman" w:eastAsia="Times New Roman" w:hAnsi="Times New Roman" w:cs="Times New Roman"/>
                            <w:sz w:val="20"/>
                            <w:szCs w:val="20"/>
                          </w:rPr>
                        </w:pPr>
                      </w:p>
                    </w:tc>
                    <w:tc>
                      <w:tcPr>
                        <w:tcW w:w="150" w:type="dxa"/>
                        <w:vAlign w:val="center"/>
                        <w:hideMark/>
                      </w:tcPr>
                      <w:p w14:paraId="45621459" w14:textId="77777777" w:rsidR="00882EFF" w:rsidRDefault="00882EFF">
                        <w:pPr>
                          <w:rPr>
                            <w:rFonts w:ascii="Times New Roman" w:eastAsia="Times New Roman" w:hAnsi="Times New Roman" w:cs="Times New Roman"/>
                            <w:sz w:val="20"/>
                            <w:szCs w:val="20"/>
                          </w:rPr>
                        </w:pPr>
                      </w:p>
                    </w:tc>
                  </w:tr>
                  <w:tr w:rsidR="00882EFF" w14:paraId="2480D8F2" w14:textId="77777777">
                    <w:trPr>
                      <w:tblCellSpacing w:w="15" w:type="dxa"/>
                      <w:jc w:val="center"/>
                    </w:trPr>
                    <w:tc>
                      <w:tcPr>
                        <w:tcW w:w="150" w:type="dxa"/>
                        <w:vAlign w:val="center"/>
                        <w:hideMark/>
                      </w:tcPr>
                      <w:p w14:paraId="2420BD4F" w14:textId="77777777" w:rsidR="00882EFF" w:rsidRDefault="00882EFF">
                        <w:pPr>
                          <w:rPr>
                            <w:rFonts w:ascii="Times New Roman" w:eastAsia="Times New Roman" w:hAnsi="Times New Roman" w:cs="Times New Roman"/>
                            <w:sz w:val="20"/>
                            <w:szCs w:val="20"/>
                          </w:rPr>
                        </w:pPr>
                      </w:p>
                    </w:tc>
                    <w:tc>
                      <w:tcPr>
                        <w:tcW w:w="8700" w:type="dxa"/>
                        <w:vAlign w:val="center"/>
                        <w:hideMark/>
                      </w:tcPr>
                      <w:p w14:paraId="170B32A7" w14:textId="77777777" w:rsidR="00882EFF" w:rsidRDefault="00882EFF">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every Tuesday and Friday. It contains important information for those that work in the community pharmacy sector.</w:t>
                        </w:r>
                      </w:p>
                      <w:p w14:paraId="23A2F7ED" w14:textId="77777777" w:rsidR="00882EFF" w:rsidRDefault="00882EFF">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0D0765B">
                            <v:rect id="_x0000_i1032" style="width:468pt;height:1.5pt" o:hralign="center" o:hrstd="t" o:hr="t" fillcolor="#a0a0a0" stroked="f"/>
                          </w:pict>
                        </w:r>
                      </w:p>
                      <w:p w14:paraId="3E0E0EF9" w14:textId="77777777" w:rsidR="00882EFF" w:rsidRDefault="00882EFF">
                        <w:pPr>
                          <w:pStyle w:val="Heading2"/>
                          <w:rPr>
                            <w:rFonts w:eastAsia="Times New Roman"/>
                          </w:rPr>
                        </w:pPr>
                        <w:r>
                          <w:rPr>
                            <w:rFonts w:eastAsia="Times New Roman"/>
                          </w:rPr>
                          <w:t>In this update: Flu vac service spec published; C-19 Costs workshop now on-demand; Health inequalities online learning; extension to extra Smartcard rights.</w:t>
                        </w:r>
                      </w:p>
                      <w:p w14:paraId="3C61320F" w14:textId="77777777" w:rsidR="00882EFF" w:rsidRDefault="00882EFF">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8593F53">
                            <v:rect id="_x0000_i1033" style="width:468pt;height:1.5pt" o:hralign="center" o:hrstd="t" o:hr="t" fillcolor="#a0a0a0" stroked="f"/>
                          </w:pict>
                        </w:r>
                      </w:p>
                      <w:p w14:paraId="77CA4DDA" w14:textId="77777777" w:rsidR="00882EFF" w:rsidRDefault="00882EFF">
                        <w:pPr>
                          <w:pStyle w:val="Heading3"/>
                          <w:rPr>
                            <w:rFonts w:eastAsia="Times New Roman"/>
                          </w:rPr>
                        </w:pPr>
                        <w:r>
                          <w:rPr>
                            <w:rFonts w:eastAsia="Times New Roman"/>
                          </w:rPr>
                          <w:t>Flu Vaccination Service specification published</w:t>
                        </w:r>
                      </w:p>
                      <w:p w14:paraId="27198D52" w14:textId="30026B6C" w:rsidR="00882EFF" w:rsidRDefault="00882EFF" w:rsidP="00882E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 England and NHS Improvement (NHSE&amp;I) have now published the service specification for the 2021/22 Community Pharmacy Seasonal Influenza Vaccination Advanced Service. The publication of this document formally starts the countdown to the commencement of what is expected to be the largest ever community pharmacy flu vaccination programme on </w:t>
                        </w:r>
                        <w:r>
                          <w:rPr>
                            <w:rStyle w:val="Strong"/>
                            <w:rFonts w:ascii="Tahoma" w:eastAsia="Times New Roman" w:hAnsi="Tahoma" w:cs="Tahoma"/>
                            <w:color w:val="303030"/>
                            <w:sz w:val="21"/>
                            <w:szCs w:val="21"/>
                          </w:rPr>
                          <w:t>Wednesday 1st September 2021</w:t>
                        </w:r>
                        <w:r>
                          <w:rPr>
                            <w:rFonts w:ascii="Tahoma" w:eastAsia="Times New Roman" w:hAnsi="Tahoma" w:cs="Tahoma"/>
                            <w:color w:val="303030"/>
                            <w:sz w:val="21"/>
                            <w:szCs w:val="21"/>
                          </w:rPr>
                          <w:t xml:space="preserve">. </w:t>
                        </w:r>
                      </w:p>
                      <w:p w14:paraId="1A4F56A3" w14:textId="77777777" w:rsidR="00882EFF" w:rsidRDefault="00882EFF" w:rsidP="00882EFF">
                        <w:pPr>
                          <w:pStyle w:val="NormalWeb"/>
                          <w:spacing w:line="264" w:lineRule="auto"/>
                          <w:rPr>
                            <w:rFonts w:ascii="Tahoma" w:hAnsi="Tahoma" w:cs="Tahoma"/>
                            <w:color w:val="303030"/>
                            <w:sz w:val="21"/>
                            <w:szCs w:val="21"/>
                          </w:rPr>
                        </w:pPr>
                        <w:r>
                          <w:rPr>
                            <w:rFonts w:ascii="Tahoma" w:hAnsi="Tahoma" w:cs="Tahoma"/>
                            <w:color w:val="303030"/>
                            <w:sz w:val="21"/>
                            <w:szCs w:val="21"/>
                          </w:rPr>
                          <w:t>The national Patient Group Direction (PGD) will be published shortly, and the flexibilities agreed as part of last season’s provision of the service allowing for vaccinations off-site and outside the consultation room will continue.</w:t>
                        </w:r>
                        <w:r>
                          <w:rPr>
                            <w:rFonts w:ascii="Tahoma" w:hAnsi="Tahoma" w:cs="Tahoma"/>
                            <w:color w:val="303030"/>
                            <w:sz w:val="21"/>
                            <w:szCs w:val="21"/>
                          </w:rPr>
                          <w:br/>
                        </w:r>
                        <w:r>
                          <w:rPr>
                            <w:rFonts w:ascii="Tahoma" w:hAnsi="Tahoma" w:cs="Tahoma"/>
                            <w:color w:val="303030"/>
                            <w:sz w:val="21"/>
                            <w:szCs w:val="21"/>
                          </w:rPr>
                          <w:br/>
                          <w:t>NHSE&amp;I have also confirmed that they are looking to have a National Protocol in place to support the flu vaccination programme for 2021/22. Contractors could use this protocol as an alternative to the PGD, where they can use the skill mix flexibilities allowed by the protocol.</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the full service specification</w:t>
                          </w:r>
                        </w:hyperlink>
                      </w:p>
                      <w:p w14:paraId="70BB6881" w14:textId="77777777" w:rsidR="00882EFF" w:rsidRDefault="00882EFF">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2DF2AD3">
                            <v:rect id="_x0000_i1034" style="width:468pt;height:1.5pt" o:hralign="center" o:hrstd="t" o:hr="t" fillcolor="#a0a0a0" stroked="f"/>
                          </w:pict>
                        </w:r>
                      </w:p>
                      <w:p w14:paraId="60A50D07" w14:textId="77777777" w:rsidR="00882EFF" w:rsidRDefault="00882EFF">
                        <w:pPr>
                          <w:pStyle w:val="Heading3"/>
                          <w:rPr>
                            <w:rFonts w:eastAsia="Times New Roman"/>
                          </w:rPr>
                        </w:pPr>
                        <w:r>
                          <w:rPr>
                            <w:rFonts w:eastAsia="Times New Roman"/>
                          </w:rPr>
                          <w:t>Latest COVID-19 Cost Claims workshop now on-demand</w:t>
                        </w:r>
                      </w:p>
                      <w:p w14:paraId="36F1C299" w14:textId="01D3A8E1" w:rsidR="00882EFF" w:rsidRDefault="00882EFF" w:rsidP="00882E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PSNC’s final COVID-19 Cost Claims Workshop for community pharmacy contractors is now available to watch on-demand.</w:t>
                        </w:r>
                        <w:r>
                          <w:rPr>
                            <w:rFonts w:ascii="Tahoma" w:eastAsia="Times New Roman" w:hAnsi="Tahoma" w:cs="Tahoma"/>
                            <w:color w:val="303030"/>
                            <w:sz w:val="21"/>
                            <w:szCs w:val="21"/>
                          </w:rPr>
                          <w:br/>
                        </w:r>
                        <w:r>
                          <w:rPr>
                            <w:rFonts w:ascii="Tahoma" w:eastAsia="Times New Roman" w:hAnsi="Tahoma" w:cs="Tahoma"/>
                            <w:color w:val="303030"/>
                            <w:sz w:val="21"/>
                            <w:szCs w:val="21"/>
                          </w:rPr>
                          <w:br/>
                          <w:t>As the second webinar in the series, our presenters were able to include a little more detail about how the process applies in specific scenarios and the event also includes subtitles to make it easier to follow.</w:t>
                        </w:r>
                        <w:r>
                          <w:rPr>
                            <w:rFonts w:ascii="Tahoma" w:eastAsia="Times New Roman" w:hAnsi="Tahoma" w:cs="Tahoma"/>
                            <w:color w:val="303030"/>
                            <w:sz w:val="21"/>
                            <w:szCs w:val="21"/>
                          </w:rPr>
                          <w:br/>
                        </w:r>
                        <w:r>
                          <w:rPr>
                            <w:rFonts w:ascii="Tahoma" w:eastAsia="Times New Roman" w:hAnsi="Tahoma" w:cs="Tahoma"/>
                            <w:color w:val="303030"/>
                            <w:sz w:val="21"/>
                            <w:szCs w:val="21"/>
                          </w:rPr>
                          <w:br/>
                          <w:t>Contractors have until </w:t>
                        </w:r>
                        <w:r>
                          <w:rPr>
                            <w:rStyle w:val="Strong"/>
                            <w:rFonts w:ascii="Tahoma" w:eastAsia="Times New Roman" w:hAnsi="Tahoma" w:cs="Tahoma"/>
                            <w:color w:val="303030"/>
                            <w:sz w:val="21"/>
                            <w:szCs w:val="21"/>
                          </w:rPr>
                          <w:t>15th August 2021</w:t>
                        </w:r>
                        <w:r>
                          <w:rPr>
                            <w:rFonts w:ascii="Tahoma" w:eastAsia="Times New Roman" w:hAnsi="Tahoma" w:cs="Tahoma"/>
                            <w:color w:val="303030"/>
                            <w:sz w:val="21"/>
                            <w:szCs w:val="21"/>
                          </w:rPr>
                          <w:t> to claim for their pandemic-related costs using an </w:t>
                        </w:r>
                        <w:hyperlink r:id="rId9" w:tgtFrame="_blank" w:history="1">
                          <w:r>
                            <w:rPr>
                              <w:rStyle w:val="Hyperlink"/>
                              <w:rFonts w:ascii="Tahoma" w:eastAsia="Times New Roman" w:hAnsi="Tahoma" w:cs="Tahoma"/>
                              <w:b/>
                              <w:bCs/>
                              <w:color w:val="4E3487"/>
                              <w:sz w:val="21"/>
                              <w:szCs w:val="21"/>
                            </w:rPr>
                            <w:t>agreed claim form provided by the NHS Business Services Authority (NHSBSA)</w:t>
                          </w:r>
                        </w:hyperlink>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0" w:tgtFrame="_blank" w:history="1">
                          <w:r>
                            <w:rPr>
                              <w:rStyle w:val="Hyperlink"/>
                              <w:rFonts w:ascii="Tahoma" w:eastAsia="Times New Roman" w:hAnsi="Tahoma" w:cs="Tahoma"/>
                              <w:b/>
                              <w:bCs/>
                              <w:color w:val="4E3487"/>
                              <w:sz w:val="21"/>
                              <w:szCs w:val="21"/>
                            </w:rPr>
                            <w:t>View the on-demand webinar</w:t>
                          </w:r>
                        </w:hyperlink>
                        <w:r>
                          <w:rPr>
                            <w:rFonts w:ascii="Tahoma" w:eastAsia="Times New Roman" w:hAnsi="Tahoma" w:cs="Tahoma"/>
                            <w:color w:val="303030"/>
                            <w:sz w:val="21"/>
                            <w:szCs w:val="21"/>
                          </w:rPr>
                          <w:t xml:space="preserve"> </w:t>
                        </w:r>
                      </w:p>
                      <w:p w14:paraId="73C3477D" w14:textId="77777777" w:rsidR="00882EFF" w:rsidRDefault="00882EFF">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67A81B2">
                            <v:rect id="_x0000_i1035" style="width:468pt;height:1.5pt" o:hralign="center" o:hrstd="t" o:hr="t" fillcolor="#a0a0a0" stroked="f"/>
                          </w:pict>
                        </w:r>
                      </w:p>
                      <w:p w14:paraId="259A736F" w14:textId="77777777" w:rsidR="00882EFF" w:rsidRDefault="00882EFF">
                        <w:pPr>
                          <w:pStyle w:val="Heading3"/>
                          <w:rPr>
                            <w:rFonts w:eastAsia="Times New Roman"/>
                          </w:rPr>
                        </w:pPr>
                        <w:r>
                          <w:rPr>
                            <w:rFonts w:eastAsia="Times New Roman"/>
                          </w:rPr>
                          <w:t>CPPE launch Health inequalities e-learning and e-assessment</w:t>
                        </w:r>
                      </w:p>
                      <w:p w14:paraId="314B27E4" w14:textId="6B8FAC58" w:rsidR="00882EFF" w:rsidRDefault="00882EFF" w:rsidP="00882E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Centre for Pharmacy Postgraduate Education (CPPE) has launched a Health inequalities e-learning programme and associated e-assessment.</w:t>
                        </w:r>
                        <w:r>
                          <w:rPr>
                            <w:rFonts w:ascii="Tahoma" w:eastAsia="Times New Roman" w:hAnsi="Tahoma" w:cs="Tahoma"/>
                            <w:color w:val="303030"/>
                            <w:sz w:val="21"/>
                            <w:szCs w:val="21"/>
                          </w:rPr>
                          <w:br/>
                        </w:r>
                        <w:r>
                          <w:rPr>
                            <w:rFonts w:ascii="Tahoma" w:eastAsia="Times New Roman" w:hAnsi="Tahoma" w:cs="Tahoma"/>
                            <w:color w:val="303030"/>
                            <w:sz w:val="21"/>
                            <w:szCs w:val="21"/>
                          </w:rPr>
                          <w:br/>
                          <w:t>This e-learning has been specially designed to support pharmacists, pharmacy technicians, and trainees within these roles to develop the skills and knowledge required to reduce health inequalities within their local communities and among those they serve. </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Access this e-learning</w:t>
                          </w:r>
                        </w:hyperlink>
                        <w:r>
                          <w:rPr>
                            <w:rFonts w:ascii="Tahoma" w:eastAsia="Times New Roman" w:hAnsi="Tahoma" w:cs="Tahoma"/>
                            <w:color w:val="303030"/>
                            <w:sz w:val="21"/>
                            <w:szCs w:val="21"/>
                          </w:rPr>
                          <w:t xml:space="preserve"> </w:t>
                        </w:r>
                      </w:p>
                      <w:p w14:paraId="2B462301" w14:textId="77777777" w:rsidR="00882EFF" w:rsidRDefault="00882EFF">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4CE677A">
                            <v:rect id="_x0000_i1036" style="width:468pt;height:1.5pt" o:hralign="center" o:hrstd="t" o:hr="t" fillcolor="#a0a0a0" stroked="f"/>
                          </w:pict>
                        </w:r>
                      </w:p>
                      <w:p w14:paraId="3CB9BAA6" w14:textId="77777777" w:rsidR="00882EFF" w:rsidRDefault="00882EFF">
                        <w:pPr>
                          <w:pStyle w:val="Heading3"/>
                          <w:rPr>
                            <w:rFonts w:eastAsia="Times New Roman"/>
                          </w:rPr>
                        </w:pPr>
                        <w:r>
                          <w:rPr>
                            <w:rFonts w:eastAsia="Times New Roman"/>
                          </w:rPr>
                          <w:t>Extra Smartcard rights extended until 2022</w:t>
                        </w:r>
                      </w:p>
                      <w:p w14:paraId="3C3A519D" w14:textId="14D5DD18" w:rsidR="00882EFF" w:rsidRDefault="00882EFF" w:rsidP="00882E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During the pandemic, NHS Digital added the multi-site FFFFF Smartcard code and Shared Care Record (SCR) access rights onto the Smartcards of pharmacists and pharmacy technicians. This extension of Smartcard rights was supported by PSNC and NHSE&amp;I.</w:t>
                        </w:r>
                        <w:r>
                          <w:rPr>
                            <w:rFonts w:ascii="Tahoma" w:eastAsia="Times New Roman" w:hAnsi="Tahoma" w:cs="Tahoma"/>
                            <w:color w:val="303030"/>
                            <w:sz w:val="21"/>
                            <w:szCs w:val="21"/>
                          </w:rPr>
                          <w:br/>
                          <w:t> </w:t>
                        </w:r>
                        <w:r>
                          <w:rPr>
                            <w:rFonts w:ascii="Tahoma" w:eastAsia="Times New Roman" w:hAnsi="Tahoma" w:cs="Tahoma"/>
                            <w:color w:val="303030"/>
                            <w:sz w:val="21"/>
                            <w:szCs w:val="21"/>
                          </w:rPr>
                          <w:br/>
                          <w:t>NHS Digital have now confirmed to PSNC that these assignment codes will be further extended until 31st March 2022.</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tooltip="https://psnc.org.uk/our-news/extra-smartcard-rights-for-pharmacy-profs-extended-until-2022/" w:history="1">
                          <w:r>
                            <w:rPr>
                              <w:rStyle w:val="Hyperlink"/>
                              <w:rFonts w:ascii="Tahoma" w:eastAsia="Times New Roman" w:hAnsi="Tahoma" w:cs="Tahoma"/>
                              <w:b/>
                              <w:bCs/>
                              <w:color w:val="4E3487"/>
                              <w:sz w:val="21"/>
                              <w:szCs w:val="21"/>
                            </w:rPr>
                            <w:t>Learn more about the extra Smartcard rights</w:t>
                          </w:r>
                        </w:hyperlink>
                      </w:p>
                    </w:tc>
                    <w:tc>
                      <w:tcPr>
                        <w:tcW w:w="150" w:type="dxa"/>
                        <w:vAlign w:val="center"/>
                        <w:hideMark/>
                      </w:tcPr>
                      <w:p w14:paraId="2459CFAD" w14:textId="77777777" w:rsidR="00882EFF" w:rsidRDefault="00882EFF">
                        <w:pPr>
                          <w:rPr>
                            <w:rFonts w:ascii="Tahoma" w:eastAsia="Times New Roman" w:hAnsi="Tahoma" w:cs="Tahoma"/>
                            <w:color w:val="303030"/>
                            <w:sz w:val="21"/>
                            <w:szCs w:val="21"/>
                          </w:rPr>
                        </w:pPr>
                      </w:p>
                    </w:tc>
                  </w:tr>
                  <w:tr w:rsidR="00882EFF" w14:paraId="0F865323" w14:textId="77777777">
                    <w:trPr>
                      <w:trHeight w:val="150"/>
                      <w:tblCellSpacing w:w="15" w:type="dxa"/>
                      <w:jc w:val="center"/>
                    </w:trPr>
                    <w:tc>
                      <w:tcPr>
                        <w:tcW w:w="150" w:type="dxa"/>
                        <w:vAlign w:val="center"/>
                        <w:hideMark/>
                      </w:tcPr>
                      <w:p w14:paraId="7E0F7F1F" w14:textId="77777777" w:rsidR="00882EFF" w:rsidRDefault="00882EFF">
                        <w:pPr>
                          <w:rPr>
                            <w:rFonts w:ascii="Times New Roman" w:eastAsia="Times New Roman" w:hAnsi="Times New Roman" w:cs="Times New Roman"/>
                            <w:sz w:val="20"/>
                            <w:szCs w:val="20"/>
                          </w:rPr>
                        </w:pPr>
                      </w:p>
                    </w:tc>
                    <w:tc>
                      <w:tcPr>
                        <w:tcW w:w="8700" w:type="dxa"/>
                        <w:vAlign w:val="center"/>
                        <w:hideMark/>
                      </w:tcPr>
                      <w:p w14:paraId="338CC5D8" w14:textId="77777777" w:rsidR="00882EFF" w:rsidRDefault="00882EFF">
                        <w:pPr>
                          <w:rPr>
                            <w:rFonts w:ascii="Times New Roman" w:eastAsia="Times New Roman" w:hAnsi="Times New Roman" w:cs="Times New Roman"/>
                            <w:sz w:val="20"/>
                            <w:szCs w:val="20"/>
                          </w:rPr>
                        </w:pPr>
                      </w:p>
                    </w:tc>
                    <w:tc>
                      <w:tcPr>
                        <w:tcW w:w="150" w:type="dxa"/>
                        <w:vAlign w:val="center"/>
                        <w:hideMark/>
                      </w:tcPr>
                      <w:p w14:paraId="3A8EB36E" w14:textId="77777777" w:rsidR="00882EFF" w:rsidRDefault="00882EFF">
                        <w:pPr>
                          <w:rPr>
                            <w:rFonts w:ascii="Times New Roman" w:eastAsia="Times New Roman" w:hAnsi="Times New Roman" w:cs="Times New Roman"/>
                            <w:sz w:val="20"/>
                            <w:szCs w:val="20"/>
                          </w:rPr>
                        </w:pPr>
                      </w:p>
                    </w:tc>
                  </w:tr>
                </w:tbl>
                <w:p w14:paraId="2F3026D4" w14:textId="77777777" w:rsidR="00882EFF" w:rsidRDefault="00882EFF">
                  <w:pPr>
                    <w:jc w:val="center"/>
                    <w:rPr>
                      <w:rFonts w:ascii="Times New Roman" w:eastAsia="Times New Roman" w:hAnsi="Times New Roman" w:cs="Times New Roman"/>
                      <w:sz w:val="20"/>
                      <w:szCs w:val="20"/>
                    </w:rPr>
                  </w:pPr>
                </w:p>
              </w:tc>
            </w:tr>
          </w:tbl>
          <w:p w14:paraId="0BCFC973" w14:textId="77777777" w:rsidR="00882EFF" w:rsidRDefault="00882EFF">
            <w:pPr>
              <w:jc w:val="center"/>
              <w:rPr>
                <w:rFonts w:ascii="Times New Roman" w:eastAsia="Times New Roman" w:hAnsi="Times New Roman" w:cs="Times New Roman"/>
                <w:sz w:val="20"/>
                <w:szCs w:val="20"/>
              </w:rPr>
            </w:pPr>
          </w:p>
        </w:tc>
      </w:tr>
      <w:tr w:rsidR="00882EFF" w14:paraId="188A2EE1" w14:textId="77777777" w:rsidTr="00882EF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82EFF" w14:paraId="77E9FA94"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82EFF" w14:paraId="5F4D4D6E" w14:textId="77777777">
                    <w:trPr>
                      <w:tblCellSpacing w:w="0" w:type="dxa"/>
                      <w:jc w:val="center"/>
                    </w:trPr>
                    <w:tc>
                      <w:tcPr>
                        <w:tcW w:w="3000" w:type="dxa"/>
                        <w:tcMar>
                          <w:top w:w="30" w:type="dxa"/>
                          <w:left w:w="75" w:type="dxa"/>
                          <w:bottom w:w="30" w:type="dxa"/>
                          <w:right w:w="75" w:type="dxa"/>
                        </w:tcMar>
                        <w:hideMark/>
                      </w:tcPr>
                      <w:p w14:paraId="0DB4B3DD" w14:textId="77777777" w:rsidR="00882EFF" w:rsidRDefault="00882EFF">
                        <w:pPr>
                          <w:pStyle w:val="Heading4"/>
                          <w:jc w:val="center"/>
                          <w:rPr>
                            <w:rFonts w:eastAsia="Times New Roman"/>
                          </w:rPr>
                        </w:pPr>
                        <w:r>
                          <w:rPr>
                            <w:rFonts w:eastAsia="Times New Roman"/>
                          </w:rPr>
                          <w:lastRenderedPageBreak/>
                          <w:t>Pharmaceutical Services Negotiating Committee</w:t>
                        </w:r>
                      </w:p>
                      <w:p w14:paraId="6864D457" w14:textId="0AD991A4" w:rsidR="00882EFF" w:rsidRDefault="00882EF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D648DAF" wp14:editId="58107807">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59C4EA8" wp14:editId="5C704426">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8828C4E" wp14:editId="44C6F68D">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34D36D3" wp14:editId="4404BEFB">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F32EA23" w14:textId="77777777" w:rsidR="00882EFF" w:rsidRDefault="00882EF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82EFF" w14:paraId="28B3D7DF" w14:textId="77777777">
                    <w:trPr>
                      <w:trHeight w:val="450"/>
                      <w:tblCellSpacing w:w="0" w:type="dxa"/>
                      <w:jc w:val="center"/>
                    </w:trPr>
                    <w:tc>
                      <w:tcPr>
                        <w:tcW w:w="9000" w:type="dxa"/>
                        <w:tcMar>
                          <w:top w:w="150" w:type="dxa"/>
                          <w:left w:w="0" w:type="dxa"/>
                          <w:bottom w:w="0" w:type="dxa"/>
                          <w:right w:w="0" w:type="dxa"/>
                        </w:tcMar>
                        <w:vAlign w:val="center"/>
                        <w:hideMark/>
                      </w:tcPr>
                      <w:p w14:paraId="33A05399" w14:textId="1AE9C276" w:rsidR="00882EFF" w:rsidRDefault="00882EFF" w:rsidP="00882EFF">
                        <w:pPr>
                          <w:rPr>
                            <w:rFonts w:ascii="Arial" w:eastAsia="Times New Roman" w:hAnsi="Arial" w:cs="Arial"/>
                            <w:color w:val="FFFFFF"/>
                            <w:sz w:val="17"/>
                            <w:szCs w:val="17"/>
                          </w:rPr>
                        </w:pPr>
                      </w:p>
                    </w:tc>
                  </w:tr>
                </w:tbl>
                <w:p w14:paraId="166D3DD6" w14:textId="77777777" w:rsidR="00882EFF" w:rsidRDefault="00882EFF">
                  <w:pPr>
                    <w:jc w:val="center"/>
                    <w:rPr>
                      <w:rFonts w:ascii="Times New Roman" w:eastAsia="Times New Roman" w:hAnsi="Times New Roman" w:cs="Times New Roman"/>
                      <w:sz w:val="20"/>
                      <w:szCs w:val="20"/>
                    </w:rPr>
                  </w:pPr>
                </w:p>
              </w:tc>
            </w:tr>
          </w:tbl>
          <w:p w14:paraId="663EF6AD" w14:textId="77777777" w:rsidR="00882EFF" w:rsidRDefault="00882EFF">
            <w:pPr>
              <w:jc w:val="center"/>
              <w:rPr>
                <w:rFonts w:ascii="Times New Roman" w:eastAsia="Times New Roman" w:hAnsi="Times New Roman" w:cs="Times New Roman"/>
                <w:sz w:val="20"/>
                <w:szCs w:val="20"/>
              </w:rPr>
            </w:pPr>
          </w:p>
        </w:tc>
      </w:tr>
    </w:tbl>
    <w:p w14:paraId="08353406" w14:textId="01989250" w:rsidR="00882EFF" w:rsidRDefault="00882EFF" w:rsidP="00882EFF">
      <w:pPr>
        <w:rPr>
          <w:rFonts w:eastAsia="Times New Roman"/>
        </w:rPr>
      </w:pPr>
      <w:r>
        <w:rPr>
          <w:rFonts w:eastAsia="Times New Roman"/>
          <w:noProof/>
        </w:rPr>
        <w:drawing>
          <wp:inline distT="0" distB="0" distL="0" distR="0" wp14:anchorId="143CEFC2" wp14:editId="1E24B74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22643B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EFF"/>
    <w:rsid w:val="00882EF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9309"/>
  <w15:chartTrackingRefBased/>
  <w15:docId w15:val="{85230407-830B-47CD-8CA3-BAB26AA4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EFF"/>
    <w:rPr>
      <w:rFonts w:ascii="Calibri" w:hAnsi="Calibri" w:cs="Calibri"/>
      <w:lang w:eastAsia="en-GB"/>
    </w:rPr>
  </w:style>
  <w:style w:type="paragraph" w:styleId="Heading1">
    <w:name w:val="heading 1"/>
    <w:basedOn w:val="Normal"/>
    <w:link w:val="Heading1Char"/>
    <w:uiPriority w:val="9"/>
    <w:qFormat/>
    <w:rsid w:val="00882EF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82EFF"/>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882EFF"/>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882EF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EFF"/>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82EFF"/>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882EFF"/>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882EFF"/>
    <w:rPr>
      <w:rFonts w:ascii="Tahoma" w:hAnsi="Tahoma" w:cs="Tahoma"/>
      <w:b/>
      <w:bCs/>
      <w:color w:val="FFFFFF"/>
      <w:sz w:val="18"/>
      <w:szCs w:val="18"/>
      <w:lang w:eastAsia="en-GB"/>
    </w:rPr>
  </w:style>
  <w:style w:type="paragraph" w:styleId="NormalWeb">
    <w:name w:val="Normal (Web)"/>
    <w:basedOn w:val="Normal"/>
    <w:uiPriority w:val="99"/>
    <w:semiHidden/>
    <w:unhideWhenUsed/>
    <w:rsid w:val="00882EFF"/>
    <w:pPr>
      <w:spacing w:before="100" w:beforeAutospacing="1" w:after="100" w:afterAutospacing="1"/>
    </w:pPr>
  </w:style>
  <w:style w:type="character" w:styleId="Strong">
    <w:name w:val="Strong"/>
    <w:basedOn w:val="DefaultParagraphFont"/>
    <w:uiPriority w:val="22"/>
    <w:qFormat/>
    <w:rsid w:val="00882EFF"/>
    <w:rPr>
      <w:b/>
      <w:bCs/>
    </w:rPr>
  </w:style>
  <w:style w:type="character" w:styleId="Hyperlink">
    <w:name w:val="Hyperlink"/>
    <w:basedOn w:val="DefaultParagraphFont"/>
    <w:uiPriority w:val="99"/>
    <w:semiHidden/>
    <w:unhideWhenUsed/>
    <w:rsid w:val="00882E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0bdb4d491&amp;e=d19e9fd41c" TargetMode="External"/><Relationship Id="rId13" Type="http://schemas.openxmlformats.org/officeDocument/2006/relationships/hyperlink" Target="https://psnc.us7.list-manage.com/track/click?u=86d41ab7fa4c7c2c5d7210782&amp;id=0df0bdc7f8&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b7777aa277&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4639cb368e&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020a849f30&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14a7c47490&amp;e=d19e9fd41c" TargetMode="External"/><Relationship Id="rId19" Type="http://schemas.openxmlformats.org/officeDocument/2006/relationships/hyperlink" Target="https://psnc.us7.list-manage.com/track/click?u=86d41ab7fa4c7c2c5d7210782&amp;id=8c418cbf73&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097384172a&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3c8293549c&amp;e=d19e9fd41c" TargetMode="External"/><Relationship Id="rId27" Type="http://schemas.openxmlformats.org/officeDocument/2006/relationships/image" Target="https://psnc.us7.list-manage.com/track/open.php?u=86d41ab7fa4c7c2c5d7210782&amp;id=d0a23b438c&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2021-08-04T08:40:00Z</dcterms:created>
  <dcterms:modified xsi:type="dcterms:W3CDTF">2021-08-04T08:44:00Z</dcterms:modified>
</cp:coreProperties>
</file>