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938A6" w14:paraId="7618CDA6" w14:textId="77777777" w:rsidTr="001938A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938A6" w14:paraId="3E5E585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938A6" w14:paraId="606B931A" w14:textId="77777777">
                    <w:trPr>
                      <w:tblCellSpacing w:w="0" w:type="dxa"/>
                      <w:jc w:val="center"/>
                    </w:trPr>
                    <w:tc>
                      <w:tcPr>
                        <w:tcW w:w="3000" w:type="dxa"/>
                        <w:hideMark/>
                      </w:tcPr>
                      <w:p w14:paraId="061B4D27" w14:textId="490CFFE7" w:rsidR="001938A6" w:rsidRDefault="001938A6" w:rsidP="001938A6">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9F746A8" w14:textId="77777777" w:rsidR="001938A6" w:rsidRDefault="001938A6">
                  <w:pPr>
                    <w:jc w:val="center"/>
                    <w:rPr>
                      <w:rFonts w:ascii="Times New Roman" w:eastAsia="Times New Roman" w:hAnsi="Times New Roman" w:cs="Times New Roman"/>
                      <w:sz w:val="20"/>
                      <w:szCs w:val="20"/>
                    </w:rPr>
                  </w:pPr>
                </w:p>
              </w:tc>
            </w:tr>
            <w:tr w:rsidR="001938A6" w14:paraId="50DCBBB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938A6" w14:paraId="388D5EB4"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78DC5A9E" w14:textId="4D536B85" w:rsidR="001938A6" w:rsidRDefault="001938A6">
                        <w:pPr>
                          <w:jc w:val="center"/>
                          <w:rPr>
                            <w:rFonts w:eastAsia="Times New Roman"/>
                          </w:rPr>
                        </w:pPr>
                        <w:r>
                          <w:rPr>
                            <w:rFonts w:eastAsia="Times New Roman"/>
                            <w:noProof/>
                          </w:rPr>
                          <w:drawing>
                            <wp:inline distT="0" distB="0" distL="0" distR="0" wp14:anchorId="07FD5B88" wp14:editId="586F9FD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938A6" w14:paraId="2E411111" w14:textId="77777777">
                    <w:trPr>
                      <w:tblCellSpacing w:w="0" w:type="dxa"/>
                    </w:trPr>
                    <w:tc>
                      <w:tcPr>
                        <w:tcW w:w="0" w:type="auto"/>
                        <w:vMerge/>
                        <w:tcBorders>
                          <w:top w:val="nil"/>
                          <w:left w:val="nil"/>
                          <w:bottom w:val="single" w:sz="2" w:space="0" w:color="FFFFFF"/>
                          <w:right w:val="nil"/>
                        </w:tcBorders>
                        <w:vAlign w:val="center"/>
                        <w:hideMark/>
                      </w:tcPr>
                      <w:p w14:paraId="2276EA3F" w14:textId="77777777" w:rsidR="001938A6" w:rsidRDefault="001938A6">
                        <w:pPr>
                          <w:rPr>
                            <w:rFonts w:eastAsia="Times New Roman"/>
                          </w:rPr>
                        </w:pPr>
                      </w:p>
                    </w:tc>
                    <w:tc>
                      <w:tcPr>
                        <w:tcW w:w="3450" w:type="dxa"/>
                        <w:tcBorders>
                          <w:top w:val="nil"/>
                          <w:left w:val="nil"/>
                          <w:bottom w:val="nil"/>
                          <w:right w:val="nil"/>
                        </w:tcBorders>
                        <w:vAlign w:val="center"/>
                        <w:hideMark/>
                      </w:tcPr>
                      <w:p w14:paraId="470537F8" w14:textId="77777777" w:rsidR="001938A6" w:rsidRDefault="001938A6">
                        <w:pPr>
                          <w:pStyle w:val="Heading1"/>
                          <w:rPr>
                            <w:rFonts w:eastAsia="Times New Roman"/>
                          </w:rPr>
                        </w:pPr>
                        <w:r>
                          <w:rPr>
                            <w:rFonts w:eastAsia="Times New Roman"/>
                          </w:rPr>
                          <w:t>News Alert</w:t>
                        </w:r>
                      </w:p>
                    </w:tc>
                  </w:tr>
                  <w:tr w:rsidR="001938A6" w14:paraId="75BDBF56" w14:textId="77777777">
                    <w:trPr>
                      <w:tblCellSpacing w:w="0" w:type="dxa"/>
                    </w:trPr>
                    <w:tc>
                      <w:tcPr>
                        <w:tcW w:w="0" w:type="auto"/>
                        <w:vMerge/>
                        <w:tcBorders>
                          <w:top w:val="nil"/>
                          <w:left w:val="nil"/>
                          <w:bottom w:val="single" w:sz="2" w:space="0" w:color="FFFFFF"/>
                          <w:right w:val="nil"/>
                        </w:tcBorders>
                        <w:vAlign w:val="center"/>
                        <w:hideMark/>
                      </w:tcPr>
                      <w:p w14:paraId="11388934" w14:textId="77777777" w:rsidR="001938A6" w:rsidRDefault="001938A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0F44311" w14:textId="77777777" w:rsidR="001938A6" w:rsidRDefault="001938A6">
                        <w:pPr>
                          <w:pStyle w:val="Heading2"/>
                          <w:rPr>
                            <w:rFonts w:eastAsia="Times New Roman"/>
                            <w:color w:val="93378A"/>
                          </w:rPr>
                        </w:pPr>
                        <w:r>
                          <w:rPr>
                            <w:rFonts w:eastAsia="Times New Roman"/>
                            <w:color w:val="93378A"/>
                          </w:rPr>
                          <w:t>Monday 28th June 2021</w:t>
                        </w:r>
                      </w:p>
                    </w:tc>
                  </w:tr>
                </w:tbl>
                <w:p w14:paraId="0B62301F" w14:textId="77777777" w:rsidR="001938A6" w:rsidRDefault="001938A6">
                  <w:pPr>
                    <w:rPr>
                      <w:rFonts w:ascii="Times New Roman" w:eastAsia="Times New Roman" w:hAnsi="Times New Roman" w:cs="Times New Roman"/>
                      <w:sz w:val="20"/>
                      <w:szCs w:val="20"/>
                    </w:rPr>
                  </w:pPr>
                </w:p>
              </w:tc>
            </w:tr>
            <w:tr w:rsidR="001938A6" w14:paraId="5588B94B" w14:textId="77777777">
              <w:tblPrEx>
                <w:shd w:val="clear" w:color="auto" w:fill="auto"/>
              </w:tblPrEx>
              <w:trPr>
                <w:tblCellSpacing w:w="0" w:type="dxa"/>
                <w:jc w:val="center"/>
              </w:trPr>
              <w:tc>
                <w:tcPr>
                  <w:tcW w:w="9000" w:type="dxa"/>
                  <w:hideMark/>
                </w:tcPr>
                <w:p w14:paraId="3F19A2D6" w14:textId="0BE8011D" w:rsidR="001938A6" w:rsidRDefault="001938A6">
                  <w:pPr>
                    <w:rPr>
                      <w:rFonts w:eastAsia="Times New Roman"/>
                    </w:rPr>
                  </w:pPr>
                  <w:r>
                    <w:rPr>
                      <w:rFonts w:eastAsia="Times New Roman"/>
                      <w:noProof/>
                    </w:rPr>
                    <w:drawing>
                      <wp:inline distT="0" distB="0" distL="0" distR="0" wp14:anchorId="1DAD3545" wp14:editId="278A9E4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938A6" w14:paraId="7713B40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938A6" w14:paraId="329577B3" w14:textId="77777777">
                    <w:trPr>
                      <w:trHeight w:val="75"/>
                      <w:tblCellSpacing w:w="15" w:type="dxa"/>
                      <w:jc w:val="center"/>
                    </w:trPr>
                    <w:tc>
                      <w:tcPr>
                        <w:tcW w:w="150" w:type="dxa"/>
                        <w:vAlign w:val="center"/>
                        <w:hideMark/>
                      </w:tcPr>
                      <w:p w14:paraId="79394C02" w14:textId="77777777" w:rsidR="001938A6" w:rsidRDefault="001938A6">
                        <w:pPr>
                          <w:rPr>
                            <w:rFonts w:eastAsia="Times New Roman"/>
                          </w:rPr>
                        </w:pPr>
                      </w:p>
                    </w:tc>
                    <w:tc>
                      <w:tcPr>
                        <w:tcW w:w="8700" w:type="dxa"/>
                        <w:vAlign w:val="center"/>
                        <w:hideMark/>
                      </w:tcPr>
                      <w:p w14:paraId="2625D9CC" w14:textId="77777777" w:rsidR="001938A6" w:rsidRDefault="001938A6">
                        <w:pPr>
                          <w:rPr>
                            <w:rFonts w:ascii="Times New Roman" w:eastAsia="Times New Roman" w:hAnsi="Times New Roman" w:cs="Times New Roman"/>
                            <w:sz w:val="20"/>
                            <w:szCs w:val="20"/>
                          </w:rPr>
                        </w:pPr>
                      </w:p>
                    </w:tc>
                    <w:tc>
                      <w:tcPr>
                        <w:tcW w:w="150" w:type="dxa"/>
                        <w:vAlign w:val="center"/>
                        <w:hideMark/>
                      </w:tcPr>
                      <w:p w14:paraId="15211E56" w14:textId="77777777" w:rsidR="001938A6" w:rsidRDefault="001938A6">
                        <w:pPr>
                          <w:rPr>
                            <w:rFonts w:ascii="Times New Roman" w:eastAsia="Times New Roman" w:hAnsi="Times New Roman" w:cs="Times New Roman"/>
                            <w:sz w:val="20"/>
                            <w:szCs w:val="20"/>
                          </w:rPr>
                        </w:pPr>
                      </w:p>
                    </w:tc>
                  </w:tr>
                  <w:tr w:rsidR="001938A6" w14:paraId="0874CB33" w14:textId="77777777">
                    <w:trPr>
                      <w:tblCellSpacing w:w="15" w:type="dxa"/>
                      <w:jc w:val="center"/>
                    </w:trPr>
                    <w:tc>
                      <w:tcPr>
                        <w:tcW w:w="150" w:type="dxa"/>
                        <w:vAlign w:val="center"/>
                        <w:hideMark/>
                      </w:tcPr>
                      <w:p w14:paraId="2B1DD92F" w14:textId="77777777" w:rsidR="001938A6" w:rsidRDefault="001938A6">
                        <w:pPr>
                          <w:rPr>
                            <w:rFonts w:ascii="Times New Roman" w:eastAsia="Times New Roman" w:hAnsi="Times New Roman" w:cs="Times New Roman"/>
                            <w:sz w:val="20"/>
                            <w:szCs w:val="20"/>
                          </w:rPr>
                        </w:pPr>
                      </w:p>
                    </w:tc>
                    <w:tc>
                      <w:tcPr>
                        <w:tcW w:w="8700" w:type="dxa"/>
                        <w:hideMark/>
                      </w:tcPr>
                      <w:p w14:paraId="33219AAB" w14:textId="77777777" w:rsidR="001938A6" w:rsidRDefault="001938A6">
                        <w:pPr>
                          <w:pStyle w:val="Heading2"/>
                          <w:rPr>
                            <w:rFonts w:eastAsia="Times New Roman" w:cs="Arial"/>
                          </w:rPr>
                        </w:pPr>
                        <w:r>
                          <w:rPr>
                            <w:rFonts w:eastAsia="Times New Roman" w:cs="Arial"/>
                          </w:rPr>
                          <w:t>COVID-19 Costs: PSNC reaches deal with HM Government</w:t>
                        </w:r>
                      </w:p>
                    </w:tc>
                    <w:tc>
                      <w:tcPr>
                        <w:tcW w:w="150" w:type="dxa"/>
                        <w:vAlign w:val="center"/>
                        <w:hideMark/>
                      </w:tcPr>
                      <w:p w14:paraId="2B376D9C" w14:textId="77777777" w:rsidR="001938A6" w:rsidRDefault="001938A6">
                        <w:pPr>
                          <w:rPr>
                            <w:rFonts w:eastAsia="Times New Roman" w:cs="Arial"/>
                          </w:rPr>
                        </w:pPr>
                      </w:p>
                    </w:tc>
                  </w:tr>
                  <w:tr w:rsidR="001938A6" w14:paraId="22F14FB1" w14:textId="77777777">
                    <w:trPr>
                      <w:trHeight w:val="75"/>
                      <w:tblCellSpacing w:w="15" w:type="dxa"/>
                      <w:jc w:val="center"/>
                    </w:trPr>
                    <w:tc>
                      <w:tcPr>
                        <w:tcW w:w="150" w:type="dxa"/>
                        <w:vAlign w:val="center"/>
                        <w:hideMark/>
                      </w:tcPr>
                      <w:p w14:paraId="03A4089F" w14:textId="77777777" w:rsidR="001938A6" w:rsidRDefault="001938A6">
                        <w:pPr>
                          <w:rPr>
                            <w:rFonts w:ascii="Times New Roman" w:eastAsia="Times New Roman" w:hAnsi="Times New Roman" w:cs="Times New Roman"/>
                            <w:sz w:val="20"/>
                            <w:szCs w:val="20"/>
                          </w:rPr>
                        </w:pPr>
                      </w:p>
                    </w:tc>
                    <w:tc>
                      <w:tcPr>
                        <w:tcW w:w="8700" w:type="dxa"/>
                        <w:vAlign w:val="center"/>
                        <w:hideMark/>
                      </w:tcPr>
                      <w:p w14:paraId="46EB6BDE" w14:textId="77777777" w:rsidR="001938A6" w:rsidRDefault="001938A6">
                        <w:pPr>
                          <w:rPr>
                            <w:rFonts w:ascii="Times New Roman" w:eastAsia="Times New Roman" w:hAnsi="Times New Roman" w:cs="Times New Roman"/>
                            <w:sz w:val="20"/>
                            <w:szCs w:val="20"/>
                          </w:rPr>
                        </w:pPr>
                      </w:p>
                    </w:tc>
                    <w:tc>
                      <w:tcPr>
                        <w:tcW w:w="150" w:type="dxa"/>
                        <w:vAlign w:val="center"/>
                        <w:hideMark/>
                      </w:tcPr>
                      <w:p w14:paraId="5095EEA7" w14:textId="77777777" w:rsidR="001938A6" w:rsidRDefault="001938A6">
                        <w:pPr>
                          <w:rPr>
                            <w:rFonts w:ascii="Times New Roman" w:eastAsia="Times New Roman" w:hAnsi="Times New Roman" w:cs="Times New Roman"/>
                            <w:sz w:val="20"/>
                            <w:szCs w:val="20"/>
                          </w:rPr>
                        </w:pPr>
                      </w:p>
                    </w:tc>
                  </w:tr>
                  <w:tr w:rsidR="001938A6" w14:paraId="273DAE41" w14:textId="77777777">
                    <w:trPr>
                      <w:trHeight w:val="15"/>
                      <w:tblCellSpacing w:w="15" w:type="dxa"/>
                      <w:jc w:val="center"/>
                    </w:trPr>
                    <w:tc>
                      <w:tcPr>
                        <w:tcW w:w="150" w:type="dxa"/>
                        <w:shd w:val="clear" w:color="auto" w:fill="513389"/>
                        <w:vAlign w:val="center"/>
                        <w:hideMark/>
                      </w:tcPr>
                      <w:p w14:paraId="1E8AF6AB" w14:textId="77777777" w:rsidR="001938A6" w:rsidRDefault="001938A6">
                        <w:pPr>
                          <w:rPr>
                            <w:rFonts w:ascii="Times New Roman" w:eastAsia="Times New Roman" w:hAnsi="Times New Roman" w:cs="Times New Roman"/>
                            <w:sz w:val="20"/>
                            <w:szCs w:val="20"/>
                          </w:rPr>
                        </w:pPr>
                      </w:p>
                    </w:tc>
                    <w:tc>
                      <w:tcPr>
                        <w:tcW w:w="8700" w:type="dxa"/>
                        <w:shd w:val="clear" w:color="auto" w:fill="513389"/>
                        <w:vAlign w:val="center"/>
                        <w:hideMark/>
                      </w:tcPr>
                      <w:p w14:paraId="5425CEE5" w14:textId="77777777" w:rsidR="001938A6" w:rsidRDefault="001938A6">
                        <w:pPr>
                          <w:rPr>
                            <w:rFonts w:ascii="Times New Roman" w:eastAsia="Times New Roman" w:hAnsi="Times New Roman" w:cs="Times New Roman"/>
                            <w:sz w:val="20"/>
                            <w:szCs w:val="20"/>
                          </w:rPr>
                        </w:pPr>
                      </w:p>
                    </w:tc>
                    <w:tc>
                      <w:tcPr>
                        <w:tcW w:w="150" w:type="dxa"/>
                        <w:shd w:val="clear" w:color="auto" w:fill="513389"/>
                        <w:vAlign w:val="center"/>
                        <w:hideMark/>
                      </w:tcPr>
                      <w:p w14:paraId="497EF9B0" w14:textId="77777777" w:rsidR="001938A6" w:rsidRDefault="001938A6">
                        <w:pPr>
                          <w:rPr>
                            <w:rFonts w:ascii="Times New Roman" w:eastAsia="Times New Roman" w:hAnsi="Times New Roman" w:cs="Times New Roman"/>
                            <w:sz w:val="20"/>
                            <w:szCs w:val="20"/>
                          </w:rPr>
                        </w:pPr>
                      </w:p>
                    </w:tc>
                  </w:tr>
                  <w:tr w:rsidR="001938A6" w14:paraId="30FC2CA8" w14:textId="77777777">
                    <w:trPr>
                      <w:trHeight w:val="150"/>
                      <w:tblCellSpacing w:w="15" w:type="dxa"/>
                      <w:jc w:val="center"/>
                    </w:trPr>
                    <w:tc>
                      <w:tcPr>
                        <w:tcW w:w="150" w:type="dxa"/>
                        <w:vAlign w:val="center"/>
                        <w:hideMark/>
                      </w:tcPr>
                      <w:p w14:paraId="0452BAE0" w14:textId="77777777" w:rsidR="001938A6" w:rsidRDefault="001938A6">
                        <w:pPr>
                          <w:rPr>
                            <w:rFonts w:ascii="Times New Roman" w:eastAsia="Times New Roman" w:hAnsi="Times New Roman" w:cs="Times New Roman"/>
                            <w:sz w:val="20"/>
                            <w:szCs w:val="20"/>
                          </w:rPr>
                        </w:pPr>
                      </w:p>
                    </w:tc>
                    <w:tc>
                      <w:tcPr>
                        <w:tcW w:w="8700" w:type="dxa"/>
                        <w:vAlign w:val="center"/>
                        <w:hideMark/>
                      </w:tcPr>
                      <w:p w14:paraId="74D7CCE2" w14:textId="77777777" w:rsidR="001938A6" w:rsidRDefault="001938A6">
                        <w:pPr>
                          <w:rPr>
                            <w:rFonts w:ascii="Times New Roman" w:eastAsia="Times New Roman" w:hAnsi="Times New Roman" w:cs="Times New Roman"/>
                            <w:sz w:val="20"/>
                            <w:szCs w:val="20"/>
                          </w:rPr>
                        </w:pPr>
                      </w:p>
                    </w:tc>
                    <w:tc>
                      <w:tcPr>
                        <w:tcW w:w="150" w:type="dxa"/>
                        <w:vAlign w:val="center"/>
                        <w:hideMark/>
                      </w:tcPr>
                      <w:p w14:paraId="15DBEC12" w14:textId="77777777" w:rsidR="001938A6" w:rsidRDefault="001938A6">
                        <w:pPr>
                          <w:rPr>
                            <w:rFonts w:ascii="Times New Roman" w:eastAsia="Times New Roman" w:hAnsi="Times New Roman" w:cs="Times New Roman"/>
                            <w:sz w:val="20"/>
                            <w:szCs w:val="20"/>
                          </w:rPr>
                        </w:pPr>
                      </w:p>
                    </w:tc>
                  </w:tr>
                  <w:tr w:rsidR="001938A6" w14:paraId="20EA2D55" w14:textId="77777777">
                    <w:trPr>
                      <w:tblCellSpacing w:w="15" w:type="dxa"/>
                      <w:jc w:val="center"/>
                    </w:trPr>
                    <w:tc>
                      <w:tcPr>
                        <w:tcW w:w="150" w:type="dxa"/>
                        <w:vAlign w:val="center"/>
                        <w:hideMark/>
                      </w:tcPr>
                      <w:p w14:paraId="5549F2C2" w14:textId="77777777" w:rsidR="001938A6" w:rsidRDefault="001938A6">
                        <w:pPr>
                          <w:rPr>
                            <w:rFonts w:ascii="Times New Roman" w:eastAsia="Times New Roman" w:hAnsi="Times New Roman" w:cs="Times New Roman"/>
                            <w:sz w:val="20"/>
                            <w:szCs w:val="20"/>
                          </w:rPr>
                        </w:pPr>
                      </w:p>
                    </w:tc>
                    <w:tc>
                      <w:tcPr>
                        <w:tcW w:w="8700" w:type="dxa"/>
                        <w:vAlign w:val="center"/>
                        <w:hideMark/>
                      </w:tcPr>
                      <w:p w14:paraId="10F2F27E" w14:textId="77777777" w:rsidR="001938A6" w:rsidRDefault="001938A6" w:rsidP="00062B2A">
                        <w:pPr>
                          <w:numPr>
                            <w:ilvl w:val="0"/>
                            <w:numId w:val="1"/>
                          </w:numPr>
                          <w:spacing w:before="100" w:beforeAutospacing="1" w:after="100" w:afterAutospacing="1"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PSNC has accepted a revised, and much improved, offer on COVID </w:t>
                        </w:r>
                        <w:proofErr w:type="gramStart"/>
                        <w:r>
                          <w:rPr>
                            <w:rStyle w:val="Strong"/>
                            <w:rFonts w:ascii="Tahoma" w:eastAsia="Times New Roman" w:hAnsi="Tahoma" w:cs="Tahoma"/>
                            <w:color w:val="303030"/>
                            <w:sz w:val="21"/>
                            <w:szCs w:val="21"/>
                          </w:rPr>
                          <w:t>costs</w:t>
                        </w:r>
                        <w:proofErr w:type="gramEnd"/>
                      </w:p>
                      <w:p w14:paraId="534D8278" w14:textId="77777777" w:rsidR="001938A6" w:rsidRDefault="001938A6" w:rsidP="00062B2A">
                        <w:pPr>
                          <w:numPr>
                            <w:ilvl w:val="0"/>
                            <w:numId w:val="1"/>
                          </w:numPr>
                          <w:spacing w:before="100" w:beforeAutospacing="1" w:after="100" w:afterAutospacing="1"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Contractors can claim for a range of costs incurred over a 13-month </w:t>
                        </w:r>
                        <w:proofErr w:type="gramStart"/>
                        <w:r>
                          <w:rPr>
                            <w:rStyle w:val="Strong"/>
                            <w:rFonts w:ascii="Tahoma" w:eastAsia="Times New Roman" w:hAnsi="Tahoma" w:cs="Tahoma"/>
                            <w:color w:val="303030"/>
                            <w:sz w:val="21"/>
                            <w:szCs w:val="21"/>
                          </w:rPr>
                          <w:t>period</w:t>
                        </w:r>
                        <w:proofErr w:type="gramEnd"/>
                      </w:p>
                      <w:p w14:paraId="5F93265C" w14:textId="77777777" w:rsidR="001938A6" w:rsidRDefault="001938A6" w:rsidP="00062B2A">
                        <w:pPr>
                          <w:numPr>
                            <w:ilvl w:val="0"/>
                            <w:numId w:val="1"/>
                          </w:numPr>
                          <w:spacing w:before="100" w:beforeAutospacing="1" w:after="100" w:afterAutospacing="1"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Payments to be made in October ahead of the sector paying back £370m Advance </w:t>
                        </w:r>
                        <w:proofErr w:type="gramStart"/>
                        <w:r>
                          <w:rPr>
                            <w:rStyle w:val="Strong"/>
                            <w:rFonts w:ascii="Tahoma" w:eastAsia="Times New Roman" w:hAnsi="Tahoma" w:cs="Tahoma"/>
                            <w:color w:val="303030"/>
                            <w:sz w:val="21"/>
                            <w:szCs w:val="21"/>
                          </w:rPr>
                          <w:t>Payments</w:t>
                        </w:r>
                        <w:proofErr w:type="gramEnd"/>
                      </w:p>
                      <w:p w14:paraId="2B337F6D" w14:textId="77777777" w:rsidR="001938A6" w:rsidRDefault="001938A6" w:rsidP="00062B2A">
                        <w:pPr>
                          <w:numPr>
                            <w:ilvl w:val="0"/>
                            <w:numId w:val="1"/>
                          </w:numPr>
                          <w:spacing w:before="100" w:beforeAutospacing="1" w:after="100" w:afterAutospacing="1"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Terms of loan repayments will depend on the amounts claimed, and this is subject to some further </w:t>
                        </w:r>
                        <w:proofErr w:type="gramStart"/>
                        <w:r>
                          <w:rPr>
                            <w:rStyle w:val="Strong"/>
                            <w:rFonts w:ascii="Tahoma" w:eastAsia="Times New Roman" w:hAnsi="Tahoma" w:cs="Tahoma"/>
                            <w:color w:val="303030"/>
                            <w:sz w:val="21"/>
                            <w:szCs w:val="21"/>
                          </w:rPr>
                          <w:t>negotiation</w:t>
                        </w:r>
                        <w:proofErr w:type="gramEnd"/>
                      </w:p>
                      <w:p w14:paraId="71AC3091" w14:textId="77777777" w:rsidR="001938A6" w:rsidRDefault="001938A6" w:rsidP="00062B2A">
                        <w:pPr>
                          <w:numPr>
                            <w:ilvl w:val="0"/>
                            <w:numId w:val="1"/>
                          </w:numPr>
                          <w:spacing w:before="100" w:beforeAutospacing="1" w:after="100" w:afterAutospacing="1"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Details on making COVID costs claims are set out in a Drug Tariff determination, and further commentary and guidance will follow from </w:t>
                        </w:r>
                        <w:proofErr w:type="gramStart"/>
                        <w:r>
                          <w:rPr>
                            <w:rStyle w:val="Strong"/>
                            <w:rFonts w:ascii="Tahoma" w:eastAsia="Times New Roman" w:hAnsi="Tahoma" w:cs="Tahoma"/>
                            <w:color w:val="303030"/>
                            <w:sz w:val="21"/>
                            <w:szCs w:val="21"/>
                          </w:rPr>
                          <w:t>PSNC</w:t>
                        </w:r>
                        <w:proofErr w:type="gramEnd"/>
                      </w:p>
                      <w:p w14:paraId="75D01ED0"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t>PSNC has accepted an offer from HM Government that will allow all community pharmacy contractors in England to claim for their COVID-related costs.</w:t>
                        </w:r>
                      </w:p>
                      <w:p w14:paraId="4C3B0062"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t>The revised offer from HM Government was a significant improvement on their original proposal which was rejected by PSNC last summer.</w:t>
                        </w:r>
                      </w:p>
                      <w:p w14:paraId="0E8A7BF5"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t>Specific improvements made to the offer mean that:</w:t>
                        </w:r>
                      </w:p>
                      <w:p w14:paraId="71C21D00" w14:textId="77777777" w:rsidR="001938A6" w:rsidRDefault="001938A6" w:rsidP="00062B2A">
                        <w:pPr>
                          <w:numPr>
                            <w:ilvl w:val="0"/>
                            <w:numId w:val="2"/>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HM Government has removed the restrictive upper limit on the amount of claims it will pay for, as it had originally proposed to impose a cap of £</w:t>
                        </w:r>
                        <w:proofErr w:type="gramStart"/>
                        <w:r>
                          <w:rPr>
                            <w:rFonts w:ascii="Tahoma" w:eastAsia="Times New Roman" w:hAnsi="Tahoma" w:cs="Tahoma"/>
                            <w:color w:val="303030"/>
                            <w:sz w:val="21"/>
                            <w:szCs w:val="21"/>
                          </w:rPr>
                          <w:t>120m;</w:t>
                        </w:r>
                        <w:proofErr w:type="gramEnd"/>
                      </w:p>
                      <w:p w14:paraId="3EDF6F47" w14:textId="77777777" w:rsidR="001938A6" w:rsidRDefault="001938A6" w:rsidP="00062B2A">
                        <w:pPr>
                          <w:numPr>
                            <w:ilvl w:val="0"/>
                            <w:numId w:val="2"/>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can now claim costs incurred from March 2020 to March 2021, </w:t>
                        </w:r>
                        <w:proofErr w:type="gramStart"/>
                        <w:r>
                          <w:rPr>
                            <w:rFonts w:ascii="Tahoma" w:eastAsia="Times New Roman" w:hAnsi="Tahoma" w:cs="Tahoma"/>
                            <w:color w:val="303030"/>
                            <w:sz w:val="21"/>
                            <w:szCs w:val="21"/>
                          </w:rPr>
                          <w:t>i.e.</w:t>
                        </w:r>
                        <w:proofErr w:type="gramEnd"/>
                        <w:r>
                          <w:rPr>
                            <w:rFonts w:ascii="Tahoma" w:eastAsia="Times New Roman" w:hAnsi="Tahoma" w:cs="Tahoma"/>
                            <w:color w:val="303030"/>
                            <w:sz w:val="21"/>
                            <w:szCs w:val="21"/>
                          </w:rPr>
                          <w:t xml:space="preserve"> a 13-month period (the original offer had to be to cover costs for just three months);</w:t>
                        </w:r>
                      </w:p>
                      <w:p w14:paraId="1CBCCE63" w14:textId="77777777" w:rsidR="001938A6" w:rsidRDefault="001938A6" w:rsidP="00062B2A">
                        <w:pPr>
                          <w:numPr>
                            <w:ilvl w:val="0"/>
                            <w:numId w:val="2"/>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can now claim for a wider range of costs, including for non-staff costs which had been excluded from the original </w:t>
                        </w:r>
                        <w:proofErr w:type="gramStart"/>
                        <w:r>
                          <w:rPr>
                            <w:rFonts w:ascii="Tahoma" w:eastAsia="Times New Roman" w:hAnsi="Tahoma" w:cs="Tahoma"/>
                            <w:color w:val="303030"/>
                            <w:sz w:val="21"/>
                            <w:szCs w:val="21"/>
                          </w:rPr>
                          <w:t>offer;</w:t>
                        </w:r>
                        <w:proofErr w:type="gramEnd"/>
                      </w:p>
                      <w:p w14:paraId="12466C68" w14:textId="77777777" w:rsidR="001938A6" w:rsidRDefault="001938A6" w:rsidP="00062B2A">
                        <w:pPr>
                          <w:numPr>
                            <w:ilvl w:val="0"/>
                            <w:numId w:val="2"/>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costs will now </w:t>
                        </w:r>
                        <w:r>
                          <w:rPr>
                            <w:rFonts w:ascii="Tahoma" w:eastAsia="Times New Roman" w:hAnsi="Tahoma" w:cs="Tahoma"/>
                            <w:color w:val="303030"/>
                            <w:sz w:val="21"/>
                            <w:szCs w:val="21"/>
                            <w:u w:val="single"/>
                          </w:rPr>
                          <w:t>not</w:t>
                        </w:r>
                        <w:r>
                          <w:rPr>
                            <w:rFonts w:ascii="Tahoma" w:eastAsia="Times New Roman" w:hAnsi="Tahoma" w:cs="Tahoma"/>
                            <w:color w:val="303030"/>
                            <w:sz w:val="21"/>
                            <w:szCs w:val="21"/>
                          </w:rPr>
                          <w:t xml:space="preserve"> be written off against the retail grants claimed by some pharmacies; and</w:t>
                        </w:r>
                      </w:p>
                      <w:p w14:paraId="32B98D5A" w14:textId="77777777" w:rsidR="001938A6" w:rsidRDefault="001938A6" w:rsidP="00062B2A">
                        <w:pPr>
                          <w:numPr>
                            <w:ilvl w:val="0"/>
                            <w:numId w:val="2"/>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Multiple contractors can now make a single claim per business (the original offer had sought a separate claim per branch, which would have constrained costs claims).</w:t>
                        </w:r>
                      </w:p>
                      <w:p w14:paraId="137078AF"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t>Under the agreed deal, contractors will receive payments for their COVID costs on 1st October, following a claiming period between 5th July and 15th August 2021.</w:t>
                        </w:r>
                      </w:p>
                      <w:p w14:paraId="5CD293E2"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t>Alongside these cost payments, HM Treasury has insisted that the sector will need to pay back the £370m Advance Payments received last year.</w:t>
                        </w:r>
                      </w:p>
                      <w:p w14:paraId="15803BCA"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lastRenderedPageBreak/>
                          <w:t>The Department of Health and Social Care (DHSC) plans to take back repayments in six equal monthly sums, also starting from October, but we will have a further discussion on this in due course.</w:t>
                        </w:r>
                      </w:p>
                      <w:p w14:paraId="7382836E" w14:textId="77777777" w:rsidR="001938A6" w:rsidRDefault="001938A6">
                        <w:pPr>
                          <w:pStyle w:val="NormalWeb"/>
                          <w:spacing w:line="264" w:lineRule="auto"/>
                          <w:jc w:val="both"/>
                          <w:rPr>
                            <w:rFonts w:ascii="Tahoma" w:hAnsi="Tahoma" w:cs="Tahoma"/>
                            <w:color w:val="303030"/>
                            <w:sz w:val="21"/>
                            <w:szCs w:val="21"/>
                          </w:rPr>
                        </w:pPr>
                        <w:r>
                          <w:rPr>
                            <w:rFonts w:ascii="Tahoma" w:hAnsi="Tahoma" w:cs="Tahoma"/>
                            <w:color w:val="303030"/>
                            <w:sz w:val="21"/>
                            <w:szCs w:val="21"/>
                          </w:rPr>
                          <w:t>This has been a protracted negotiation with DHSC, with the influence of HM Treasury and its need to protect public monies significant. The improved offer is the result of influencing by PSNC via negotiations, evidenced business cases (using data from our monthly contractor cost surveys) and lobbying – both in public and privately to Ministers – supported by the LPCs and other national pharmacy organisations.</w:t>
                        </w:r>
                      </w:p>
                      <w:p w14:paraId="70F90500" w14:textId="77777777" w:rsidR="001938A6" w:rsidRDefault="001938A6">
                        <w:pPr>
                          <w:pStyle w:val="NormalWeb"/>
                          <w:spacing w:line="264" w:lineRule="auto"/>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Further information on the agreement, including briefings and statements from PSNC, can be found on the PSNC website.</w:t>
                          </w:r>
                        </w:hyperlink>
                      </w:p>
                    </w:tc>
                    <w:tc>
                      <w:tcPr>
                        <w:tcW w:w="150" w:type="dxa"/>
                        <w:vAlign w:val="center"/>
                        <w:hideMark/>
                      </w:tcPr>
                      <w:p w14:paraId="1C41BC86" w14:textId="77777777" w:rsidR="001938A6" w:rsidRDefault="001938A6">
                        <w:pPr>
                          <w:rPr>
                            <w:rFonts w:ascii="Tahoma" w:hAnsi="Tahoma" w:cs="Tahoma"/>
                            <w:color w:val="303030"/>
                            <w:sz w:val="21"/>
                            <w:szCs w:val="21"/>
                          </w:rPr>
                        </w:pPr>
                      </w:p>
                    </w:tc>
                  </w:tr>
                  <w:tr w:rsidR="001938A6" w14:paraId="39A58756" w14:textId="77777777">
                    <w:trPr>
                      <w:trHeight w:val="150"/>
                      <w:tblCellSpacing w:w="15" w:type="dxa"/>
                      <w:jc w:val="center"/>
                    </w:trPr>
                    <w:tc>
                      <w:tcPr>
                        <w:tcW w:w="150" w:type="dxa"/>
                        <w:vAlign w:val="center"/>
                        <w:hideMark/>
                      </w:tcPr>
                      <w:p w14:paraId="52D9E8C0" w14:textId="77777777" w:rsidR="001938A6" w:rsidRDefault="001938A6">
                        <w:pPr>
                          <w:rPr>
                            <w:rFonts w:ascii="Times New Roman" w:eastAsia="Times New Roman" w:hAnsi="Times New Roman" w:cs="Times New Roman"/>
                            <w:sz w:val="20"/>
                            <w:szCs w:val="20"/>
                          </w:rPr>
                        </w:pPr>
                      </w:p>
                    </w:tc>
                    <w:tc>
                      <w:tcPr>
                        <w:tcW w:w="8700" w:type="dxa"/>
                        <w:vAlign w:val="center"/>
                        <w:hideMark/>
                      </w:tcPr>
                      <w:p w14:paraId="0CC2E38C" w14:textId="77777777" w:rsidR="001938A6" w:rsidRDefault="001938A6">
                        <w:pPr>
                          <w:rPr>
                            <w:rFonts w:ascii="Times New Roman" w:eastAsia="Times New Roman" w:hAnsi="Times New Roman" w:cs="Times New Roman"/>
                            <w:sz w:val="20"/>
                            <w:szCs w:val="20"/>
                          </w:rPr>
                        </w:pPr>
                      </w:p>
                    </w:tc>
                    <w:tc>
                      <w:tcPr>
                        <w:tcW w:w="150" w:type="dxa"/>
                        <w:vAlign w:val="center"/>
                        <w:hideMark/>
                      </w:tcPr>
                      <w:p w14:paraId="2BA02483" w14:textId="77777777" w:rsidR="001938A6" w:rsidRDefault="001938A6">
                        <w:pPr>
                          <w:rPr>
                            <w:rFonts w:ascii="Times New Roman" w:eastAsia="Times New Roman" w:hAnsi="Times New Roman" w:cs="Times New Roman"/>
                            <w:sz w:val="20"/>
                            <w:szCs w:val="20"/>
                          </w:rPr>
                        </w:pPr>
                      </w:p>
                    </w:tc>
                  </w:tr>
                </w:tbl>
                <w:p w14:paraId="1E45CE9A" w14:textId="77777777" w:rsidR="001938A6" w:rsidRDefault="001938A6">
                  <w:pPr>
                    <w:jc w:val="center"/>
                    <w:rPr>
                      <w:rFonts w:ascii="Times New Roman" w:eastAsia="Times New Roman" w:hAnsi="Times New Roman" w:cs="Times New Roman"/>
                      <w:sz w:val="20"/>
                      <w:szCs w:val="20"/>
                    </w:rPr>
                  </w:pPr>
                </w:p>
              </w:tc>
            </w:tr>
          </w:tbl>
          <w:p w14:paraId="49EF22D9" w14:textId="77777777" w:rsidR="001938A6" w:rsidRDefault="001938A6">
            <w:pPr>
              <w:jc w:val="center"/>
              <w:rPr>
                <w:rFonts w:ascii="Times New Roman" w:eastAsia="Times New Roman" w:hAnsi="Times New Roman" w:cs="Times New Roman"/>
                <w:sz w:val="20"/>
                <w:szCs w:val="20"/>
              </w:rPr>
            </w:pPr>
          </w:p>
        </w:tc>
      </w:tr>
      <w:tr w:rsidR="001938A6" w14:paraId="4BA2467B" w14:textId="77777777" w:rsidTr="001938A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938A6" w14:paraId="32F8E07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938A6" w14:paraId="24C8AA39" w14:textId="77777777">
                    <w:trPr>
                      <w:tblCellSpacing w:w="0" w:type="dxa"/>
                      <w:jc w:val="center"/>
                    </w:trPr>
                    <w:tc>
                      <w:tcPr>
                        <w:tcW w:w="3000" w:type="dxa"/>
                        <w:tcMar>
                          <w:top w:w="30" w:type="dxa"/>
                          <w:left w:w="75" w:type="dxa"/>
                          <w:bottom w:w="30" w:type="dxa"/>
                          <w:right w:w="75" w:type="dxa"/>
                        </w:tcMar>
                        <w:hideMark/>
                      </w:tcPr>
                      <w:p w14:paraId="30964BF2" w14:textId="77777777" w:rsidR="001938A6" w:rsidRDefault="001938A6">
                        <w:pPr>
                          <w:pStyle w:val="Heading4"/>
                          <w:jc w:val="center"/>
                          <w:rPr>
                            <w:rFonts w:eastAsia="Times New Roman"/>
                          </w:rPr>
                        </w:pPr>
                        <w:r>
                          <w:rPr>
                            <w:rFonts w:eastAsia="Times New Roman"/>
                          </w:rPr>
                          <w:lastRenderedPageBreak/>
                          <w:t>Pharmaceutical Services Negotiating Committee</w:t>
                        </w:r>
                      </w:p>
                      <w:p w14:paraId="10EC5976" w14:textId="3452E3E2" w:rsidR="001938A6" w:rsidRDefault="001938A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8E148C6" wp14:editId="3F9E3B3A">
                              <wp:extent cx="609600" cy="304800"/>
                              <wp:effectExtent l="0" t="0" r="0" b="0"/>
                              <wp:docPr id="5" name="Picture 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B189F5" wp14:editId="76B60200">
                              <wp:extent cx="609600" cy="304800"/>
                              <wp:effectExtent l="0" t="0" r="0" b="0"/>
                              <wp:docPr id="4"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062E0E" wp14:editId="0578A77B">
                              <wp:extent cx="609600" cy="304800"/>
                              <wp:effectExtent l="0" t="0" r="0" b="0"/>
                              <wp:docPr id="3"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321B5D1" wp14:editId="417E15F5">
                              <wp:extent cx="609600" cy="304800"/>
                              <wp:effectExtent l="0" t="0" r="0" b="0"/>
                              <wp:docPr id="2" name="Picture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630AF79" w14:textId="77777777" w:rsidR="001938A6" w:rsidRDefault="001938A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2"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938A6" w14:paraId="7798AB06" w14:textId="77777777">
                    <w:trPr>
                      <w:trHeight w:val="450"/>
                      <w:tblCellSpacing w:w="0" w:type="dxa"/>
                      <w:jc w:val="center"/>
                    </w:trPr>
                    <w:tc>
                      <w:tcPr>
                        <w:tcW w:w="9000" w:type="dxa"/>
                        <w:tcMar>
                          <w:top w:w="150" w:type="dxa"/>
                          <w:left w:w="0" w:type="dxa"/>
                          <w:bottom w:w="0" w:type="dxa"/>
                          <w:right w:w="0" w:type="dxa"/>
                        </w:tcMar>
                        <w:vAlign w:val="center"/>
                        <w:hideMark/>
                      </w:tcPr>
                      <w:p w14:paraId="41370A73" w14:textId="1607F1A2" w:rsidR="001938A6" w:rsidRDefault="001938A6" w:rsidP="001938A6">
                        <w:pPr>
                          <w:rPr>
                            <w:rFonts w:ascii="Arial" w:eastAsia="Times New Roman" w:hAnsi="Arial" w:cs="Arial"/>
                            <w:color w:val="FFFFFF"/>
                            <w:sz w:val="17"/>
                            <w:szCs w:val="17"/>
                          </w:rPr>
                        </w:pPr>
                      </w:p>
                    </w:tc>
                  </w:tr>
                </w:tbl>
                <w:p w14:paraId="36E60FCC" w14:textId="77777777" w:rsidR="001938A6" w:rsidRDefault="001938A6">
                  <w:pPr>
                    <w:jc w:val="center"/>
                    <w:rPr>
                      <w:rFonts w:ascii="Times New Roman" w:eastAsia="Times New Roman" w:hAnsi="Times New Roman" w:cs="Times New Roman"/>
                      <w:sz w:val="20"/>
                      <w:szCs w:val="20"/>
                    </w:rPr>
                  </w:pPr>
                </w:p>
              </w:tc>
            </w:tr>
          </w:tbl>
          <w:p w14:paraId="10C75F5E" w14:textId="77777777" w:rsidR="001938A6" w:rsidRDefault="001938A6">
            <w:pPr>
              <w:jc w:val="center"/>
              <w:rPr>
                <w:rFonts w:ascii="Times New Roman" w:eastAsia="Times New Roman" w:hAnsi="Times New Roman" w:cs="Times New Roman"/>
                <w:sz w:val="20"/>
                <w:szCs w:val="20"/>
              </w:rPr>
            </w:pPr>
          </w:p>
        </w:tc>
      </w:tr>
    </w:tbl>
    <w:p w14:paraId="2B76B267" w14:textId="4F68F734" w:rsidR="001938A6" w:rsidRDefault="001938A6" w:rsidP="001938A6">
      <w:pPr>
        <w:rPr>
          <w:rFonts w:eastAsia="Times New Roman"/>
        </w:rPr>
      </w:pPr>
      <w:r>
        <w:rPr>
          <w:rFonts w:eastAsia="Times New Roman"/>
          <w:noProof/>
        </w:rPr>
        <w:drawing>
          <wp:inline distT="0" distB="0" distL="0" distR="0" wp14:anchorId="5F48C786" wp14:editId="16E0F6C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414B4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F06A0"/>
    <w:multiLevelType w:val="multilevel"/>
    <w:tmpl w:val="92EA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91C5F"/>
    <w:multiLevelType w:val="multilevel"/>
    <w:tmpl w:val="44AA8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A6"/>
    <w:rsid w:val="001938A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AA7C"/>
  <w15:chartTrackingRefBased/>
  <w15:docId w15:val="{A6503225-5161-4168-9691-43C28DFB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A6"/>
    <w:rPr>
      <w:rFonts w:ascii="Calibri" w:hAnsi="Calibri" w:cs="Calibri"/>
      <w:lang w:eastAsia="en-GB"/>
    </w:rPr>
  </w:style>
  <w:style w:type="paragraph" w:styleId="Heading1">
    <w:name w:val="heading 1"/>
    <w:basedOn w:val="Normal"/>
    <w:link w:val="Heading1Char"/>
    <w:uiPriority w:val="9"/>
    <w:qFormat/>
    <w:rsid w:val="001938A6"/>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1938A6"/>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1938A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A6"/>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1938A6"/>
    <w:rPr>
      <w:rFonts w:ascii="Lucida Sans" w:hAnsi="Lucida Sans" w:cs="Calibri"/>
      <w:b/>
      <w:bCs/>
      <w:color w:val="4E3487"/>
      <w:sz w:val="30"/>
      <w:szCs w:val="30"/>
      <w:lang w:eastAsia="en-GB"/>
    </w:rPr>
  </w:style>
  <w:style w:type="character" w:customStyle="1" w:styleId="Heading4Char">
    <w:name w:val="Heading 4 Char"/>
    <w:basedOn w:val="DefaultParagraphFont"/>
    <w:link w:val="Heading4"/>
    <w:uiPriority w:val="9"/>
    <w:semiHidden/>
    <w:rsid w:val="001938A6"/>
    <w:rPr>
      <w:rFonts w:ascii="Tahoma" w:hAnsi="Tahoma" w:cs="Tahoma"/>
      <w:b/>
      <w:bCs/>
      <w:color w:val="FFFFFF"/>
      <w:sz w:val="18"/>
      <w:szCs w:val="18"/>
      <w:lang w:eastAsia="en-GB"/>
    </w:rPr>
  </w:style>
  <w:style w:type="paragraph" w:styleId="NormalWeb">
    <w:name w:val="Normal (Web)"/>
    <w:basedOn w:val="Normal"/>
    <w:uiPriority w:val="99"/>
    <w:semiHidden/>
    <w:unhideWhenUsed/>
    <w:rsid w:val="001938A6"/>
    <w:pPr>
      <w:spacing w:before="100" w:beforeAutospacing="1" w:after="100" w:afterAutospacing="1"/>
    </w:pPr>
  </w:style>
  <w:style w:type="character" w:styleId="Strong">
    <w:name w:val="Strong"/>
    <w:basedOn w:val="DefaultParagraphFont"/>
    <w:uiPriority w:val="22"/>
    <w:qFormat/>
    <w:rsid w:val="001938A6"/>
    <w:rPr>
      <w:b/>
      <w:bCs/>
    </w:rPr>
  </w:style>
  <w:style w:type="character" w:styleId="Hyperlink">
    <w:name w:val="Hyperlink"/>
    <w:basedOn w:val="DefaultParagraphFont"/>
    <w:uiPriority w:val="99"/>
    <w:semiHidden/>
    <w:unhideWhenUsed/>
    <w:rsid w:val="00193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413f1f9610&amp;e=d19e9fd41c" TargetMode="External"/><Relationship Id="rId18" Type="http://schemas.openxmlformats.org/officeDocument/2006/relationships/image" Target="https://gallery.mailchimp.com/86d41ab7fa4c7c2c5d7210782/images/cd088afd-0ac0-4498-8ed1-e4199bf882ce.p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https://gallery.mailchimp.com/86d41ab7fa4c7c2c5d7210782/images/f5c0845f-f39c-425d-8d3c-deff11493c50.png" TargetMode="External"/><Relationship Id="rId7" Type="http://schemas.openxmlformats.org/officeDocument/2006/relationships/image" Target="media/image2.png"/><Relationship Id="rId12" Type="http://schemas.openxmlformats.org/officeDocument/2006/relationships/image" Target="https://gallery.mailchimp.com/86d41ab7fa4c7c2c5d7210782/images/5acd9cf1-bdba-4039-b74f-638b444ff5d8.png"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3b67394071&amp;e=d19e9fd41c"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image" Target="media/image3.png"/><Relationship Id="rId24" Type="http://schemas.openxmlformats.org/officeDocument/2006/relationships/image" Target="https://psnc.us7.list-manage.com/track/open.php?u=86d41ab7fa4c7c2c5d7210782&amp;id=239ef9462f&amp;e=d19e9fd41c"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e1475f6b-1081-4509-ab25-9cd7f83d26b2.png" TargetMode="External"/><Relationship Id="rId23" Type="http://schemas.openxmlformats.org/officeDocument/2006/relationships/image" Target="media/image7.gif"/><Relationship Id="rId10" Type="http://schemas.openxmlformats.org/officeDocument/2006/relationships/hyperlink" Target="https://psnc.us7.list-manage.com/track/click?u=86d41ab7fa4c7c2c5d7210782&amp;id=f8995d7bb9&amp;e=d19e9fd41c" TargetMode="External"/><Relationship Id="rId19" Type="http://schemas.openxmlformats.org/officeDocument/2006/relationships/hyperlink" Target="https://psnc.us7.list-manage.com/track/click?u=86d41ab7fa4c7c2c5d7210782&amp;id=0091c2daf3&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079aacfe6&amp;e=d19e9fd41c" TargetMode="External"/><Relationship Id="rId14" Type="http://schemas.openxmlformats.org/officeDocument/2006/relationships/image" Target="media/image4.png"/><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2021-06-30T07:18:00Z</dcterms:created>
  <dcterms:modified xsi:type="dcterms:W3CDTF">2021-06-30T07:21:00Z</dcterms:modified>
</cp:coreProperties>
</file>