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w:instrText>
                        </w:r>
                        <w:r w:rsidR="00C86C8A">
                          <w:rPr>
                            <w:noProof/>
                          </w:rPr>
                          <w:instrText>INCLUDEPICTURE  "/var/folders/zq/_hgbfm5j5m929nsq7yq0snt00000gn/T/com.microsoft.Word/WebArchiveCopyPasteTempFiles/001d399a-96a4-4e1f-b905-a21d530b5d29.jpg" \* MERGEFORMATINET</w:instrText>
                        </w:r>
                        <w:r w:rsidR="00C86C8A">
                          <w:rPr>
                            <w:noProof/>
                          </w:rPr>
                          <w:instrText xml:space="preserve"> </w:instrText>
                        </w:r>
                        <w:r w:rsidR="00C86C8A">
                          <w:rPr>
                            <w:noProof/>
                          </w:rPr>
                          <w:fldChar w:fldCharType="separate"/>
                        </w:r>
                        <w:r w:rsidR="00C86C8A">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13EAD194" w:rsidR="002F42A7" w:rsidRPr="00DE6A3B" w:rsidRDefault="0060230C"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6B7D6D">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7</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w:instrText>
                  </w:r>
                  <w:r w:rsidR="00C86C8A">
                    <w:rPr>
                      <w:rFonts w:ascii="Helvetica" w:hAnsi="Helvetica"/>
                      <w:noProof/>
                      <w:color w:val="000000"/>
                      <w:sz w:val="18"/>
                      <w:szCs w:val="18"/>
                    </w:rPr>
                    <w:instrText>INCLUDEPICTURE  "/var/folders/zq/_hgbfm5j5m929nsq7yq0snt00000gn/T/com.microsoft.Word/WebArchiveCopyPasteTempFiles/Newsletter-style-bar.png" \* MERGEFORMATINET</w:instrText>
                  </w:r>
                  <w:r w:rsidR="00C86C8A">
                    <w:rPr>
                      <w:rFonts w:ascii="Helvetica" w:hAnsi="Helvetica"/>
                      <w:noProof/>
                      <w:color w:val="000000"/>
                      <w:sz w:val="18"/>
                      <w:szCs w:val="18"/>
                    </w:rPr>
                    <w:instrText xml:space="preserve"> </w:instrText>
                  </w:r>
                  <w:r w:rsidR="00C86C8A">
                    <w:rPr>
                      <w:rFonts w:ascii="Helvetica" w:hAnsi="Helvetica"/>
                      <w:noProof/>
                      <w:color w:val="000000"/>
                      <w:sz w:val="18"/>
                      <w:szCs w:val="18"/>
                    </w:rPr>
                    <w:fldChar w:fldCharType="separate"/>
                  </w:r>
                  <w:r w:rsidR="00C86C8A">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C86C8A" w:rsidP="002907F7">
                        <w:pPr>
                          <w:rPr>
                            <w:rFonts w:ascii="Times New Roman" w:hAnsi="Times New Roman" w:cs="Times New Roman"/>
                          </w:rPr>
                        </w:pPr>
                        <w:r>
                          <w:rPr>
                            <w:noProof/>
                          </w:rPr>
                          <w:pict w14:anchorId="2BE0C096">
                            <v:rect id="_x0000_i1025" alt="" style="width:323.85pt;height:.05pt;mso-width-percent:0;mso-height-percent:0;mso-width-percent:0;mso-height-percent:0" o:hrpct="692"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5FAB146E" w14:textId="77777777" w:rsidR="008512DA" w:rsidRDefault="008512DA" w:rsidP="008512DA">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RSG announces engagement events; community pharmacy workforce survey; C-19 vacs advice for under 40s; guidance on Data Security Toolkit.</w:t>
                              </w:r>
                            </w:p>
                            <w:p w14:paraId="413BB500" w14:textId="77777777" w:rsidR="008512DA" w:rsidRPr="008512DA" w:rsidRDefault="008512DA" w:rsidP="008512DA">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8512DA">
                                <w:rPr>
                                  <w:rFonts w:ascii="Tahoma" w:hAnsi="Tahoma" w:cs="Tahoma"/>
                                  <w:b/>
                                  <w:bCs/>
                                  <w:color w:val="4E3487"/>
                                  <w:sz w:val="28"/>
                                  <w:szCs w:val="28"/>
                                </w:rPr>
                                <w:t>RSG announces series of engagement events</w:t>
                              </w:r>
                            </w:p>
                            <w:p w14:paraId="2A9B9033" w14:textId="77777777" w:rsidR="008512DA" w:rsidRDefault="008512DA" w:rsidP="008512DA">
                              <w:pPr>
                                <w:rPr>
                                  <w:rFonts w:ascii="Times New Roman" w:hAnsi="Times New Roman" w:cs="Times New Roman"/>
                                </w:rPr>
                              </w:pPr>
                              <w:r>
                                <w:rPr>
                                  <w:rFonts w:ascii="Tahoma" w:hAnsi="Tahoma" w:cs="Tahoma"/>
                                  <w:color w:val="303030"/>
                                  <w:sz w:val="21"/>
                                  <w:szCs w:val="21"/>
                                  <w:shd w:val="clear" w:color="auto" w:fill="FFFFFF"/>
                                </w:rPr>
                                <w:t> </w:t>
                              </w:r>
                            </w:p>
                            <w:p w14:paraId="2CF7CE25" w14:textId="77777777" w:rsidR="008512DA" w:rsidRDefault="008512DA" w:rsidP="008512DA">
                              <w:pPr>
                                <w:rPr>
                                  <w:rFonts w:ascii="Tahoma" w:hAnsi="Tahoma" w:cs="Tahoma"/>
                                  <w:color w:val="303030"/>
                                  <w:sz w:val="21"/>
                                  <w:szCs w:val="21"/>
                                </w:rPr>
                              </w:pPr>
                              <w:r>
                                <w:rPr>
                                  <w:rFonts w:ascii="Tahoma" w:hAnsi="Tahoma" w:cs="Tahoma"/>
                                  <w:color w:val="303030"/>
                                  <w:sz w:val="21"/>
                                  <w:szCs w:val="21"/>
                                </w:rPr>
                                <w:t>The community pharmacy Review Steering Group (RSG) has issued an update and announced a series of stakeholder engagement events as part of its remit to take forward work following recommendations made in the </w:t>
                              </w:r>
                              <w:hyperlink r:id="rId9" w:tgtFrame="_blank" w:history="1">
                                <w:r>
                                  <w:rPr>
                                    <w:rStyle w:val="Hyperlink"/>
                                    <w:rFonts w:ascii="Tahoma" w:hAnsi="Tahoma" w:cs="Tahoma"/>
                                    <w:b/>
                                    <w:bCs/>
                                    <w:color w:val="4E3487"/>
                                    <w:sz w:val="21"/>
                                    <w:szCs w:val="21"/>
                                  </w:rPr>
                                  <w:t>Independent Review of Community Pharmacy Contractor Representation and Support: Providing best value for contractors</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In mid-March, </w:t>
                              </w:r>
                              <w:hyperlink r:id="rId10" w:tgtFrame="_blank" w:history="1">
                                <w:r>
                                  <w:rPr>
                                    <w:rStyle w:val="Hyperlink"/>
                                    <w:rFonts w:ascii="Tahoma" w:hAnsi="Tahoma" w:cs="Tahoma"/>
                                    <w:b/>
                                    <w:bCs/>
                                    <w:color w:val="4E3487"/>
                                    <w:sz w:val="21"/>
                                    <w:szCs w:val="21"/>
                                  </w:rPr>
                                  <w:t>The Berkeley Partnership</w:t>
                                </w:r>
                              </w:hyperlink>
                              <w:r>
                                <w:rPr>
                                  <w:rFonts w:ascii="Tahoma" w:hAnsi="Tahoma" w:cs="Tahoma"/>
                                  <w:color w:val="303030"/>
                                  <w:sz w:val="21"/>
                                  <w:szCs w:val="21"/>
                                </w:rPr>
                                <w:t> was appointed by the RSG as programme management advisers to refine the scope of the programme, create the programme plan and develop the stakeholder engagement approach.</w:t>
                              </w:r>
                              <w:r>
                                <w:rPr>
                                  <w:rFonts w:ascii="Tahoma" w:hAnsi="Tahoma" w:cs="Tahoma"/>
                                  <w:color w:val="303030"/>
                                  <w:sz w:val="21"/>
                                  <w:szCs w:val="21"/>
                                </w:rPr>
                                <w:br/>
                              </w:r>
                              <w:r>
                                <w:rPr>
                                  <w:rFonts w:ascii="Tahoma" w:hAnsi="Tahoma" w:cs="Tahoma"/>
                                  <w:color w:val="303030"/>
                                  <w:sz w:val="21"/>
                                  <w:szCs w:val="21"/>
                                </w:rPr>
                                <w:br/>
                                <w:t>Since then, the RSG has been working with The Berkeley Partnership to agree a set of overarching principles to govern the design and implementation of the upcoming change programme. The work has included development of a proposed high-level roadmap of activity to identify the order in which things need to happen for the sector to successfully embed the change.</w:t>
                              </w:r>
                            </w:p>
                            <w:p w14:paraId="39AC1E35"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This is a complex programme and there has been a huge amount of work taking place in the background over the past two months to further refine the project scope, and develop the draft programme plan, approach, key milestones and stakeholder engagement plan.</w:t>
                              </w:r>
                            </w:p>
                            <w:p w14:paraId="1B0FBD02"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Now that the RSG has created a draft set of principles and a draft roadmap, it wants to seek the views of LPCs and the Contractor Forum, as well as engaging with the trade bodies. </w:t>
                              </w:r>
                            </w:p>
                            <w:p w14:paraId="45D2C2D4" w14:textId="77777777" w:rsidR="008512DA" w:rsidRDefault="008512DA" w:rsidP="008512DA">
                              <w:pPr>
                                <w:spacing w:before="120" w:after="120"/>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more about the RSG engagement events</w:t>
                                </w:r>
                              </w:hyperlink>
                              <w:r>
                                <w:rPr>
                                  <w:rFonts w:ascii="Tahoma" w:hAnsi="Tahoma" w:cs="Tahoma"/>
                                  <w:color w:val="303030"/>
                                  <w:sz w:val="21"/>
                                  <w:szCs w:val="21"/>
                                </w:rPr>
                                <w:br/>
                                <w:t> </w:t>
                              </w:r>
                            </w:p>
                            <w:p w14:paraId="41891555" w14:textId="77777777" w:rsidR="008512DA" w:rsidRPr="008512DA" w:rsidRDefault="008512DA" w:rsidP="008512DA">
                              <w:pPr>
                                <w:pStyle w:val="Heading3"/>
                                <w:spacing w:before="0" w:after="75" w:line="297" w:lineRule="atLeast"/>
                                <w:rPr>
                                  <w:rFonts w:ascii="Tahoma" w:hAnsi="Tahoma" w:cs="Tahoma"/>
                                  <w:b/>
                                  <w:bCs/>
                                  <w:color w:val="4E3487"/>
                                  <w:sz w:val="28"/>
                                  <w:szCs w:val="28"/>
                                </w:rPr>
                              </w:pPr>
                              <w:r w:rsidRPr="008512DA">
                                <w:rPr>
                                  <w:rFonts w:ascii="Tahoma" w:hAnsi="Tahoma" w:cs="Tahoma"/>
                                  <w:b/>
                                  <w:bCs/>
                                  <w:color w:val="4E3487"/>
                                  <w:sz w:val="28"/>
                                  <w:szCs w:val="28"/>
                                </w:rPr>
                                <w:t>FAQs on the HEE workforce survey</w:t>
                              </w:r>
                            </w:p>
                            <w:p w14:paraId="4304414F"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The 2021 Health Education England (HEE) Community Pharmacy Workforce Survey commenced today.</w:t>
                              </w:r>
                            </w:p>
                            <w:p w14:paraId="154A4EF7"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PSNC encourages all pharmacy contractors to participate in this voluntary survey, as the results will help inform the future planning and funding in relation to the development of the community pharmacy workforce across the NHS in England.</w:t>
                              </w:r>
                            </w:p>
                            <w:p w14:paraId="5EC41659"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lastRenderedPageBreak/>
                                <w:t>The data from the previous workforce survey has also been used to the benefit of contractors by PSNC and LPCs in local and national negotiations on the development of community pharmacy services.</w:t>
                              </w:r>
                              <w:r>
                                <w:rPr>
                                  <w:rFonts w:ascii="Tahoma" w:hAnsi="Tahoma" w:cs="Tahoma"/>
                                  <w:color w:val="303030"/>
                                  <w:sz w:val="21"/>
                                  <w:szCs w:val="21"/>
                                </w:rPr>
                                <w:br/>
                              </w:r>
                              <w:r>
                                <w:rPr>
                                  <w:rFonts w:ascii="Tahoma" w:hAnsi="Tahoma" w:cs="Tahoma"/>
                                  <w:color w:val="303030"/>
                                  <w:sz w:val="21"/>
                                  <w:szCs w:val="21"/>
                                </w:rPr>
                                <w:br/>
                                <w:t>The Services Team at PSNC has produced a set of FAQs about the survey.</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See the full list of FAQs</w:t>
                                </w:r>
                              </w:hyperlink>
                            </w:p>
                            <w:p w14:paraId="239A2C26" w14:textId="6CDA0342" w:rsidR="008512DA" w:rsidRPr="008512DA" w:rsidRDefault="008512DA" w:rsidP="008512DA">
                              <w:pPr>
                                <w:pStyle w:val="Heading3"/>
                                <w:spacing w:before="0" w:after="75" w:line="297" w:lineRule="atLeast"/>
                                <w:rPr>
                                  <w:rFonts w:ascii="Tahoma" w:hAnsi="Tahoma" w:cs="Tahoma"/>
                                  <w:b/>
                                  <w:bCs/>
                                  <w:color w:val="4E3487"/>
                                  <w:sz w:val="27"/>
                                  <w:szCs w:val="27"/>
                                </w:rPr>
                              </w:pPr>
                              <w:r w:rsidRPr="008512DA">
                                <w:rPr>
                                  <w:rFonts w:ascii="Tahoma" w:hAnsi="Tahoma" w:cs="Tahoma"/>
                                  <w:b/>
                                  <w:bCs/>
                                  <w:color w:val="4E3487"/>
                                </w:rPr>
                                <w:t>New advice on C</w:t>
                              </w:r>
                              <w:r>
                                <w:rPr>
                                  <w:rFonts w:ascii="Tahoma" w:hAnsi="Tahoma" w:cs="Tahoma"/>
                                  <w:b/>
                                  <w:bCs/>
                                  <w:color w:val="4E3487"/>
                                </w:rPr>
                                <w:t>OVID</w:t>
                              </w:r>
                              <w:r w:rsidRPr="008512DA">
                                <w:rPr>
                                  <w:rFonts w:ascii="Tahoma" w:hAnsi="Tahoma" w:cs="Tahoma"/>
                                  <w:b/>
                                  <w:bCs/>
                                  <w:color w:val="4E3487"/>
                                </w:rPr>
                                <w:t>-19 vaccination for people aged under 40</w:t>
                              </w:r>
                            </w:p>
                            <w:p w14:paraId="6C9C8325" w14:textId="77777777" w:rsidR="008512DA" w:rsidRDefault="008512DA" w:rsidP="008512DA">
                              <w:pPr>
                                <w:rPr>
                                  <w:rFonts w:ascii="Tahoma" w:hAnsi="Tahoma" w:cs="Tahoma"/>
                                  <w:color w:val="303030"/>
                                  <w:sz w:val="21"/>
                                  <w:szCs w:val="21"/>
                                </w:rPr>
                              </w:pPr>
                              <w:r>
                                <w:rPr>
                                  <w:rFonts w:ascii="Tahoma" w:hAnsi="Tahoma" w:cs="Tahoma"/>
                                  <w:color w:val="303030"/>
                                  <w:sz w:val="21"/>
                                  <w:szCs w:val="21"/>
                                </w:rPr>
                                <w:br/>
                                <w:t>The Joint Committee on Vaccination and Immunisation (JCVI) has </w:t>
                              </w:r>
                              <w:hyperlink r:id="rId13" w:tgtFrame="_blank" w:history="1">
                                <w:r>
                                  <w:rPr>
                                    <w:rStyle w:val="Hyperlink"/>
                                    <w:rFonts w:ascii="Tahoma" w:hAnsi="Tahoma" w:cs="Tahoma"/>
                                    <w:b/>
                                    <w:bCs/>
                                    <w:color w:val="4E3487"/>
                                    <w:sz w:val="21"/>
                                    <w:szCs w:val="21"/>
                                  </w:rPr>
                                  <w:t>issued new advice</w:t>
                                </w:r>
                              </w:hyperlink>
                              <w:r>
                                <w:rPr>
                                  <w:rFonts w:ascii="Tahoma" w:hAnsi="Tahoma" w:cs="Tahoma"/>
                                  <w:color w:val="303030"/>
                                  <w:sz w:val="21"/>
                                  <w:szCs w:val="21"/>
                                </w:rPr>
                                <w:t> on the use of the COVID-19 Oxford/AstraZeneca vaccine for people under 40 years of age. </w:t>
                              </w:r>
                            </w:p>
                            <w:p w14:paraId="4B601E5F"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The JCVI has advised a preference for adults aged 30 to 39 without underlying health conditions to receive an alternative to the Oxford/AstraZeneca vaccine where available, as long as this does not cause substantial delays in being vaccinated. This follows the decision on 7th April to offer a preference for adults aged under 30. </w:t>
                              </w:r>
                            </w:p>
                            <w:p w14:paraId="417A0D23" w14:textId="77777777" w:rsidR="008512DA" w:rsidRDefault="008512DA" w:rsidP="008512DA">
                              <w:pPr>
                                <w:pStyle w:val="NormalWeb"/>
                                <w:rPr>
                                  <w:rFonts w:ascii="Tahoma" w:hAnsi="Tahoma" w:cs="Tahoma"/>
                                  <w:color w:val="303030"/>
                                  <w:sz w:val="21"/>
                                  <w:szCs w:val="21"/>
                                </w:rPr>
                              </w:pPr>
                              <w:r>
                                <w:rPr>
                                  <w:rFonts w:ascii="Tahoma" w:hAnsi="Tahoma" w:cs="Tahoma"/>
                                  <w:color w:val="303030"/>
                                  <w:sz w:val="21"/>
                                  <w:szCs w:val="21"/>
                                </w:rPr>
                                <w:t>However, anyone who has already had a first dose of the Oxford/AstraZeneca vaccine should receive a second dose of the same jab, irrespective of age, except for the very small number of people who experienced blood clots with low platelet counts from their first vaccination.  </w:t>
                              </w:r>
                            </w:p>
                            <w:p w14:paraId="0256BD67" w14:textId="77777777" w:rsidR="008512DA" w:rsidRDefault="008512DA" w:rsidP="008512DA">
                              <w:pPr>
                                <w:pStyle w:val="NormalWeb"/>
                                <w:rPr>
                                  <w:rFonts w:ascii="Tahoma" w:hAnsi="Tahoma" w:cs="Tahoma"/>
                                  <w:color w:val="303030"/>
                                  <w:sz w:val="21"/>
                                  <w:szCs w:val="21"/>
                                </w:rPr>
                              </w:pPr>
                              <w:hyperlink r:id="rId14" w:tgtFrame="_blank" w:history="1">
                                <w:r>
                                  <w:rPr>
                                    <w:rStyle w:val="Hyperlink"/>
                                    <w:rFonts w:ascii="Tahoma" w:hAnsi="Tahoma" w:cs="Tahoma"/>
                                    <w:b/>
                                    <w:bCs/>
                                    <w:color w:val="4E3487"/>
                                    <w:sz w:val="21"/>
                                    <w:szCs w:val="21"/>
                                  </w:rPr>
                                  <w:t>Read the JCVI statement in full</w:t>
                                </w:r>
                              </w:hyperlink>
                            </w:p>
                            <w:p w14:paraId="54ACC90C" w14:textId="77777777" w:rsidR="008512DA" w:rsidRPr="008512DA" w:rsidRDefault="008512DA" w:rsidP="008512DA">
                              <w:pPr>
                                <w:pStyle w:val="Heading3"/>
                                <w:spacing w:before="0" w:after="75" w:line="297" w:lineRule="atLeast"/>
                                <w:rPr>
                                  <w:rFonts w:ascii="Tahoma" w:hAnsi="Tahoma" w:cs="Tahoma"/>
                                  <w:b/>
                                  <w:bCs/>
                                  <w:color w:val="4E3487"/>
                                  <w:sz w:val="28"/>
                                  <w:szCs w:val="28"/>
                                </w:rPr>
                              </w:pPr>
                              <w:r w:rsidRPr="008512DA">
                                <w:rPr>
                                  <w:rFonts w:ascii="Tahoma" w:hAnsi="Tahoma" w:cs="Tahoma"/>
                                  <w:b/>
                                  <w:bCs/>
                                  <w:color w:val="4E3487"/>
                                  <w:sz w:val="28"/>
                                  <w:szCs w:val="28"/>
                                </w:rPr>
                                <w:t>Data Security and Protection Toolkit: PSNC guidance</w:t>
                              </w:r>
                            </w:p>
                            <w:p w14:paraId="03A9A6C9" w14:textId="77777777" w:rsidR="008512DA" w:rsidRDefault="008512DA" w:rsidP="008512DA">
                              <w:pPr>
                                <w:rPr>
                                  <w:rFonts w:ascii="Tahoma" w:hAnsi="Tahoma" w:cs="Tahoma"/>
                                  <w:color w:val="303030"/>
                                  <w:sz w:val="21"/>
                                  <w:szCs w:val="21"/>
                                </w:rPr>
                              </w:pPr>
                              <w:r>
                                <w:rPr>
                                  <w:rFonts w:ascii="Tahoma" w:hAnsi="Tahoma" w:cs="Tahoma"/>
                                  <w:color w:val="303030"/>
                                  <w:sz w:val="21"/>
                                  <w:szCs w:val="21"/>
                                </w:rPr>
                                <w:br/>
                                <w:t>Contractors are reminded that the Data Security and Protection Toolkit for 2020/21, used to make a pharmacy’s information governance (IG) declaration, must be completed </w:t>
                              </w:r>
                              <w:r>
                                <w:rPr>
                                  <w:rStyle w:val="Strong"/>
                                  <w:rFonts w:ascii="Tahoma" w:hAnsi="Tahoma" w:cs="Tahoma"/>
                                  <w:color w:val="303030"/>
                                  <w:sz w:val="21"/>
                                  <w:szCs w:val="21"/>
                                </w:rPr>
                                <w:t>by 30th June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PSNC has collaborated with NHS Digital and PMR suppliers to keep the workload for the Toolkit manageable, and recently published a suite of guidance to help contractors complete the Toolkit. Our </w:t>
                              </w:r>
                              <w:hyperlink r:id="rId15" w:tgtFrame="_blank" w:tooltip="https://psnc.org.uk/contract-it/pharmacy-it/data-security/" w:history="1">
                                <w:r>
                                  <w:rPr>
                                    <w:rStyle w:val="Hyperlink"/>
                                    <w:rFonts w:ascii="Tahoma" w:hAnsi="Tahoma" w:cs="Tahoma"/>
                                    <w:b/>
                                    <w:bCs/>
                                    <w:color w:val="4E3487"/>
                                    <w:sz w:val="21"/>
                                    <w:szCs w:val="21"/>
                                  </w:rPr>
                                  <w:t>data security hub</w:t>
                                </w:r>
                              </w:hyperlink>
                              <w:r>
                                <w:rPr>
                                  <w:rFonts w:ascii="Tahoma" w:hAnsi="Tahoma" w:cs="Tahoma"/>
                                  <w:color w:val="303030"/>
                                  <w:sz w:val="21"/>
                                  <w:szCs w:val="21"/>
                                </w:rPr>
                                <w:t> and </w:t>
                              </w:r>
                              <w:hyperlink r:id="rId16" w:tgtFrame="_blank" w:tooltip="https://psnc.org.uk/contract-it/pharmacy-it/data-security/data-security-templates/" w:history="1">
                                <w:r>
                                  <w:rPr>
                                    <w:rStyle w:val="Hyperlink"/>
                                    <w:rFonts w:ascii="Tahoma" w:hAnsi="Tahoma" w:cs="Tahoma"/>
                                    <w:b/>
                                    <w:bCs/>
                                    <w:color w:val="4E3487"/>
                                    <w:sz w:val="21"/>
                                    <w:szCs w:val="21"/>
                                  </w:rPr>
                                  <w:t>collection of templates and policies</w:t>
                                </w:r>
                              </w:hyperlink>
                              <w:r>
                                <w:rPr>
                                  <w:rFonts w:ascii="Tahoma" w:hAnsi="Tahoma" w:cs="Tahoma"/>
                                  <w:color w:val="303030"/>
                                  <w:sz w:val="21"/>
                                  <w:szCs w:val="21"/>
                                </w:rPr>
                                <w:t> have also been updated to align with the new toolkit and the ongoing COVID-19 pandemic.</w:t>
                              </w:r>
                            </w:p>
                            <w:p w14:paraId="2D7EDC42" w14:textId="4CB5AFAA" w:rsidR="00071CFB" w:rsidRPr="008512DA" w:rsidRDefault="008512DA" w:rsidP="008512DA">
                              <w:pPr>
                                <w:pStyle w:val="NormalWeb"/>
                                <w:rPr>
                                  <w:rFonts w:ascii="Tahoma" w:hAnsi="Tahoma" w:cs="Tahoma"/>
                                  <w:color w:val="303030"/>
                                  <w:sz w:val="21"/>
                                  <w:szCs w:val="21"/>
                                </w:rPr>
                              </w:pPr>
                              <w:hyperlink r:id="rId17" w:tgtFrame="_blank" w:history="1">
                                <w:r>
                                  <w:rPr>
                                    <w:rStyle w:val="Hyperlink"/>
                                    <w:rFonts w:ascii="Tahoma" w:hAnsi="Tahoma" w:cs="Tahoma"/>
                                    <w:b/>
                                    <w:bCs/>
                                    <w:color w:val="4E3487"/>
                                    <w:sz w:val="21"/>
                                    <w:szCs w:val="21"/>
                                  </w:rPr>
                                  <w:t>Download PSNC's IG Toolkit guidance</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8"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7"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C86C8A"/>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89cfa72118&amp;e=12757307a1" TargetMode="External"/><Relationship Id="rId18" Type="http://schemas.openxmlformats.org/officeDocument/2006/relationships/hyperlink" Target="https://psnc.us7.list-manage.com/track/click?u=86d41ab7fa4c7c2c5d7210782&amp;id=b671e78d7a&amp;e=d3dc5e7fbd"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psnc.us7.list-manage.com/track/click?u=86d41ab7fa4c7c2c5d7210782&amp;id=9f085df2d1&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ffc6e478d9&amp;e=12757307a1" TargetMode="External"/><Relationship Id="rId17" Type="http://schemas.openxmlformats.org/officeDocument/2006/relationships/hyperlink" Target="https://psnc.us7.list-manage.com/track/click?u=86d41ab7fa4c7c2c5d7210782&amp;id=6eaf3dcde5&amp;e=12757307a1" TargetMode="External"/><Relationship Id="rId25" Type="http://schemas.openxmlformats.org/officeDocument/2006/relationships/hyperlink" Target="https://psnc.us7.list-manage.com/track/click?u=86d41ab7fa4c7c2c5d7210782&amp;id=b774bcfe37&amp;e=d3dc5e7fbd"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a8ed33280e&amp;e=12757307a1"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f398a24f4d&amp;e=12757307a1" TargetMode="External"/><Relationship Id="rId24"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psnc.us7.list-manage.com/track/click?u=86d41ab7fa4c7c2c5d7210782&amp;id=f1ac11d7c0&amp;e=12757307a1" TargetMode="External"/><Relationship Id="rId23" Type="http://schemas.openxmlformats.org/officeDocument/2006/relationships/hyperlink" Target="https://psnc.us7.list-manage.com/track/click?u=86d41ab7fa4c7c2c5d7210782&amp;id=3f47eea43b&amp;e=d3dc5e7fbd" TargetMode="External"/><Relationship Id="rId28" Type="http://schemas.openxmlformats.org/officeDocument/2006/relationships/fontTable" Target="fontTable.xml"/><Relationship Id="rId10" Type="http://schemas.openxmlformats.org/officeDocument/2006/relationships/hyperlink" Target="https://psnc.us7.list-manage.com/track/click?u=86d41ab7fa4c7c2c5d7210782&amp;id=e073033716&amp;e=12757307a1" TargetMode="External"/><Relationship Id="rId19" Type="http://schemas.openxmlformats.org/officeDocument/2006/relationships/hyperlink" Target="https://psnc.us7.list-manage.com/track/click?u=86d41ab7fa4c7c2c5d7210782&amp;id=0719e3152f&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aef534190&amp;e=12757307a1" TargetMode="External"/><Relationship Id="rId14" Type="http://schemas.openxmlformats.org/officeDocument/2006/relationships/hyperlink" Target="https://psnc.us7.list-manage.com/track/click?u=86d41ab7fa4c7c2c5d7210782&amp;id=61d5b30819&amp;e=12757307a1" TargetMode="External"/><Relationship Id="rId22" Type="http://schemas.openxmlformats.org/officeDocument/2006/relationships/image" Target="media/image4.png"/><Relationship Id="rId27"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3342</Words>
  <Characters>19055</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2021-05-07T09:36:00Z</dcterms:created>
  <dcterms:modified xsi:type="dcterms:W3CDTF">2021-05-08T12:28:00Z</dcterms:modified>
</cp:coreProperties>
</file>