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50"/>
        <w:gridCol w:w="151"/>
        <w:gridCol w:w="2332"/>
        <w:gridCol w:w="6283"/>
      </w:tblGrid>
      <w:tr w:rsidR="00AC2ACA" w:rsidRPr="00460CB9" w14:paraId="55FABCAC" w14:textId="77777777" w:rsidTr="001535B4">
        <w:trPr>
          <w:trHeight w:val="557"/>
        </w:trPr>
        <w:tc>
          <w:tcPr>
            <w:tcW w:w="9242" w:type="dxa"/>
            <w:gridSpan w:val="4"/>
            <w:shd w:val="clear" w:color="auto" w:fill="auto"/>
            <w:vAlign w:val="center"/>
          </w:tcPr>
          <w:p w14:paraId="5307314A" w14:textId="77777777" w:rsidR="00AC2ACA" w:rsidRPr="0053198F" w:rsidRDefault="00AC2ACA" w:rsidP="001535B4">
            <w:pPr>
              <w:jc w:val="center"/>
              <w:rPr>
                <w:sz w:val="28"/>
                <w:szCs w:val="28"/>
              </w:rPr>
            </w:pPr>
            <w:r>
              <w:rPr>
                <w:b/>
                <w:sz w:val="28"/>
                <w:szCs w:val="28"/>
              </w:rPr>
              <w:t>Rationale of Checklist</w:t>
            </w:r>
          </w:p>
        </w:tc>
      </w:tr>
      <w:tr w:rsidR="00AC2ACA" w:rsidRPr="00460CB9" w14:paraId="17F24DA9" w14:textId="77777777" w:rsidTr="00E46D93">
        <w:trPr>
          <w:trHeight w:val="3050"/>
        </w:trPr>
        <w:tc>
          <w:tcPr>
            <w:tcW w:w="9242" w:type="dxa"/>
            <w:gridSpan w:val="4"/>
            <w:shd w:val="clear" w:color="auto" w:fill="auto"/>
            <w:vAlign w:val="center"/>
          </w:tcPr>
          <w:p w14:paraId="5906461D" w14:textId="1A37EE5F" w:rsidR="00AC2ACA" w:rsidRDefault="00D01E8F" w:rsidP="00B3219E">
            <w:pPr>
              <w:rPr>
                <w:szCs w:val="28"/>
              </w:rPr>
            </w:pPr>
            <w:r>
              <w:rPr>
                <w:szCs w:val="28"/>
              </w:rPr>
              <w:t>This checklist will be completed by the LPC sub-committee for e</w:t>
            </w:r>
            <w:r w:rsidR="001535B4">
              <w:rPr>
                <w:szCs w:val="28"/>
              </w:rPr>
              <w:t>very</w:t>
            </w:r>
            <w:r w:rsidR="00CF09FC">
              <w:rPr>
                <w:szCs w:val="28"/>
              </w:rPr>
              <w:t xml:space="preserve"> </w:t>
            </w:r>
            <w:r>
              <w:rPr>
                <w:szCs w:val="28"/>
              </w:rPr>
              <w:t xml:space="preserve">new or recommissioned </w:t>
            </w:r>
            <w:r w:rsidR="00CF09FC">
              <w:rPr>
                <w:szCs w:val="28"/>
              </w:rPr>
              <w:t xml:space="preserve">service specification </w:t>
            </w:r>
            <w:r w:rsidR="001535B4">
              <w:rPr>
                <w:szCs w:val="28"/>
              </w:rPr>
              <w:t>sent to t</w:t>
            </w:r>
            <w:r>
              <w:rPr>
                <w:szCs w:val="28"/>
              </w:rPr>
              <w:t>he LPC for comment/consultation</w:t>
            </w:r>
            <w:r w:rsidR="001535B4">
              <w:rPr>
                <w:szCs w:val="28"/>
              </w:rPr>
              <w:t xml:space="preserve">. </w:t>
            </w:r>
            <w:r w:rsidR="00CF09FC">
              <w:rPr>
                <w:szCs w:val="28"/>
              </w:rPr>
              <w:t xml:space="preserve"> </w:t>
            </w:r>
            <w:r>
              <w:rPr>
                <w:szCs w:val="28"/>
              </w:rPr>
              <w:t>The response summary is completed after consultation and agreement by the sub-committee.</w:t>
            </w:r>
          </w:p>
          <w:p w14:paraId="7FD881D0" w14:textId="77777777" w:rsidR="001535B4" w:rsidRPr="001535B4" w:rsidRDefault="001535B4" w:rsidP="00B3219E">
            <w:pPr>
              <w:rPr>
                <w:sz w:val="10"/>
                <w:szCs w:val="28"/>
              </w:rPr>
            </w:pPr>
          </w:p>
          <w:p w14:paraId="0A6D498E" w14:textId="74F063CA" w:rsidR="00CF09FC" w:rsidRDefault="00CF09FC" w:rsidP="00B3219E">
            <w:pPr>
              <w:rPr>
                <w:szCs w:val="28"/>
              </w:rPr>
            </w:pPr>
            <w:r>
              <w:rPr>
                <w:szCs w:val="28"/>
              </w:rPr>
              <w:t xml:space="preserve">The Checklist contains </w:t>
            </w:r>
            <w:r w:rsidR="00D01E8F">
              <w:rPr>
                <w:szCs w:val="28"/>
              </w:rPr>
              <w:t xml:space="preserve">the LPC sub-committee’s </w:t>
            </w:r>
            <w:r>
              <w:rPr>
                <w:szCs w:val="28"/>
              </w:rPr>
              <w:t xml:space="preserve">comments/recommendations for </w:t>
            </w:r>
            <w:r w:rsidR="00D01E8F">
              <w:rPr>
                <w:szCs w:val="28"/>
              </w:rPr>
              <w:t xml:space="preserve">any requested </w:t>
            </w:r>
            <w:r>
              <w:rPr>
                <w:szCs w:val="28"/>
              </w:rPr>
              <w:t>changes to the proposed/draft service specification</w:t>
            </w:r>
            <w:r w:rsidR="001535B4">
              <w:rPr>
                <w:szCs w:val="28"/>
              </w:rPr>
              <w:t xml:space="preserve"> in order to achieve</w:t>
            </w:r>
            <w:r w:rsidR="00D01E8F">
              <w:rPr>
                <w:szCs w:val="28"/>
              </w:rPr>
              <w:t xml:space="preserve"> / improve further the</w:t>
            </w:r>
            <w:r w:rsidR="001535B4">
              <w:rPr>
                <w:szCs w:val="28"/>
              </w:rPr>
              <w:t xml:space="preserve"> green rating. </w:t>
            </w:r>
            <w:r>
              <w:rPr>
                <w:szCs w:val="28"/>
              </w:rPr>
              <w:t xml:space="preserve"> </w:t>
            </w:r>
            <w:r w:rsidR="001535B4">
              <w:rPr>
                <w:szCs w:val="28"/>
              </w:rPr>
              <w:t>It</w:t>
            </w:r>
            <w:r>
              <w:rPr>
                <w:szCs w:val="28"/>
              </w:rPr>
              <w:t xml:space="preserve"> will be </w:t>
            </w:r>
            <w:r w:rsidR="001535B4">
              <w:rPr>
                <w:szCs w:val="28"/>
              </w:rPr>
              <w:t>sent</w:t>
            </w:r>
            <w:r>
              <w:rPr>
                <w:szCs w:val="28"/>
              </w:rPr>
              <w:t xml:space="preserve"> to the </w:t>
            </w:r>
            <w:r w:rsidR="001535B4">
              <w:rPr>
                <w:szCs w:val="28"/>
              </w:rPr>
              <w:t>service c</w:t>
            </w:r>
            <w:r>
              <w:rPr>
                <w:szCs w:val="28"/>
              </w:rPr>
              <w:t xml:space="preserve">ommissioner for consideration of amendments </w:t>
            </w:r>
            <w:r w:rsidR="001535B4">
              <w:rPr>
                <w:szCs w:val="28"/>
              </w:rPr>
              <w:t xml:space="preserve">ideally </w:t>
            </w:r>
            <w:r>
              <w:rPr>
                <w:szCs w:val="28"/>
              </w:rPr>
              <w:t>prior</w:t>
            </w:r>
            <w:r w:rsidR="001535B4">
              <w:rPr>
                <w:szCs w:val="28"/>
              </w:rPr>
              <w:t xml:space="preserve"> to go-live of the service.</w:t>
            </w:r>
          </w:p>
          <w:p w14:paraId="2FF905B2" w14:textId="77777777" w:rsidR="001535B4" w:rsidRPr="001535B4" w:rsidRDefault="001535B4" w:rsidP="00B3219E">
            <w:pPr>
              <w:rPr>
                <w:sz w:val="10"/>
                <w:szCs w:val="10"/>
              </w:rPr>
            </w:pPr>
          </w:p>
          <w:p w14:paraId="0F24F5B1" w14:textId="4531220F" w:rsidR="001535B4" w:rsidRPr="00CF09FC" w:rsidRDefault="001535B4" w:rsidP="00B3219E">
            <w:pPr>
              <w:rPr>
                <w:szCs w:val="28"/>
              </w:rPr>
            </w:pPr>
            <w:r>
              <w:rPr>
                <w:szCs w:val="28"/>
              </w:rPr>
              <w:t>The LPC’s purpose is to work positively with commissioners to ensure high quality outcomes from the service</w:t>
            </w:r>
            <w:r w:rsidR="00D01E8F">
              <w:rPr>
                <w:szCs w:val="28"/>
              </w:rPr>
              <w:t>,</w:t>
            </w:r>
            <w:r>
              <w:rPr>
                <w:szCs w:val="28"/>
              </w:rPr>
              <w:t xml:space="preserve"> which are both professionally and commercially viable for contractor participation.</w:t>
            </w:r>
          </w:p>
        </w:tc>
      </w:tr>
      <w:tr w:rsidR="00E12F94" w:rsidRPr="00460CB9" w14:paraId="4332DA91" w14:textId="77777777" w:rsidTr="003B6E32">
        <w:trPr>
          <w:trHeight w:val="575"/>
        </w:trPr>
        <w:tc>
          <w:tcPr>
            <w:tcW w:w="9242" w:type="dxa"/>
            <w:gridSpan w:val="4"/>
            <w:tcBorders>
              <w:bottom w:val="single" w:sz="4" w:space="0" w:color="auto"/>
            </w:tcBorders>
            <w:shd w:val="clear" w:color="auto" w:fill="auto"/>
            <w:vAlign w:val="center"/>
          </w:tcPr>
          <w:p w14:paraId="459A1560" w14:textId="16AD6269" w:rsidR="00E12F94" w:rsidRDefault="00E12F94" w:rsidP="001535B4">
            <w:pPr>
              <w:jc w:val="center"/>
              <w:rPr>
                <w:b/>
                <w:sz w:val="28"/>
                <w:szCs w:val="28"/>
              </w:rPr>
            </w:pPr>
            <w:r>
              <w:rPr>
                <w:b/>
                <w:sz w:val="28"/>
                <w:szCs w:val="28"/>
              </w:rPr>
              <w:t>Response summary feedback from the LPC</w:t>
            </w:r>
          </w:p>
        </w:tc>
      </w:tr>
      <w:tr w:rsidR="00E8310F" w:rsidRPr="00460CB9" w14:paraId="2F71DB59" w14:textId="77777777" w:rsidTr="003B6E32">
        <w:trPr>
          <w:trHeight w:val="575"/>
        </w:trPr>
        <w:tc>
          <w:tcPr>
            <w:tcW w:w="9242" w:type="dxa"/>
            <w:gridSpan w:val="4"/>
            <w:shd w:val="clear" w:color="auto" w:fill="FFC000"/>
            <w:vAlign w:val="center"/>
          </w:tcPr>
          <w:p w14:paraId="5A70AB8B" w14:textId="7A811411" w:rsidR="00E8310F" w:rsidRDefault="00641576" w:rsidP="00641576">
            <w:pPr>
              <w:jc w:val="center"/>
              <w:rPr>
                <w:b/>
                <w:sz w:val="28"/>
                <w:szCs w:val="28"/>
              </w:rPr>
            </w:pPr>
            <w:r>
              <w:rPr>
                <w:b/>
                <w:sz w:val="28"/>
                <w:szCs w:val="28"/>
              </w:rPr>
              <w:t>TCAM</w:t>
            </w:r>
            <w:r w:rsidR="00706616">
              <w:rPr>
                <w:b/>
                <w:sz w:val="28"/>
                <w:szCs w:val="28"/>
              </w:rPr>
              <w:t xml:space="preserve">, </w:t>
            </w:r>
            <w:r>
              <w:rPr>
                <w:b/>
                <w:sz w:val="28"/>
                <w:szCs w:val="28"/>
              </w:rPr>
              <w:t>UHS NHS FT</w:t>
            </w:r>
          </w:p>
        </w:tc>
      </w:tr>
      <w:tr w:rsidR="00E12F94" w:rsidRPr="00460CB9" w14:paraId="0D705D27" w14:textId="77777777" w:rsidTr="000E7BBC">
        <w:trPr>
          <w:trHeight w:val="2303"/>
        </w:trPr>
        <w:tc>
          <w:tcPr>
            <w:tcW w:w="9242" w:type="dxa"/>
            <w:gridSpan w:val="4"/>
            <w:shd w:val="clear" w:color="auto" w:fill="auto"/>
            <w:vAlign w:val="center"/>
          </w:tcPr>
          <w:p w14:paraId="53E60C87" w14:textId="29B0764B" w:rsidR="001957E5" w:rsidRDefault="00FE6523" w:rsidP="00B3219E">
            <w:pPr>
              <w:rPr>
                <w:szCs w:val="28"/>
              </w:rPr>
            </w:pPr>
            <w:r>
              <w:rPr>
                <w:szCs w:val="28"/>
              </w:rPr>
              <w:t>The LPC has rated this service sp</w:t>
            </w:r>
            <w:r w:rsidR="0069404F">
              <w:rPr>
                <w:szCs w:val="28"/>
              </w:rPr>
              <w:t xml:space="preserve">ecification as </w:t>
            </w:r>
            <w:r w:rsidR="00F316C4">
              <w:rPr>
                <w:szCs w:val="28"/>
              </w:rPr>
              <w:t>Amber</w:t>
            </w:r>
            <w:r w:rsidR="00EA42B3">
              <w:rPr>
                <w:szCs w:val="28"/>
              </w:rPr>
              <w:t xml:space="preserve"> based on the </w:t>
            </w:r>
            <w:r>
              <w:rPr>
                <w:szCs w:val="28"/>
              </w:rPr>
              <w:t xml:space="preserve">comments made below. </w:t>
            </w:r>
            <w:r w:rsidR="00E220A4">
              <w:rPr>
                <w:szCs w:val="28"/>
              </w:rPr>
              <w:t>Our recommended a</w:t>
            </w:r>
            <w:r>
              <w:rPr>
                <w:szCs w:val="28"/>
              </w:rPr>
              <w:t xml:space="preserve">ctions </w:t>
            </w:r>
            <w:r w:rsidR="00E220A4">
              <w:rPr>
                <w:szCs w:val="28"/>
              </w:rPr>
              <w:t>to further improve the service</w:t>
            </w:r>
            <w:r>
              <w:rPr>
                <w:szCs w:val="28"/>
              </w:rPr>
              <w:t xml:space="preserve"> are:</w:t>
            </w:r>
          </w:p>
          <w:p w14:paraId="090DE55C" w14:textId="77777777" w:rsidR="003B6E32" w:rsidRDefault="003B6E32" w:rsidP="003B6E32">
            <w:pPr>
              <w:rPr>
                <w:color w:val="000000" w:themeColor="text1"/>
                <w:szCs w:val="28"/>
              </w:rPr>
            </w:pPr>
          </w:p>
          <w:p w14:paraId="125D6786" w14:textId="44AE99B6" w:rsidR="00DE6C57" w:rsidRPr="003B6E32" w:rsidRDefault="001957E5" w:rsidP="003B6E32">
            <w:pPr>
              <w:pStyle w:val="ListParagraph"/>
              <w:numPr>
                <w:ilvl w:val="0"/>
                <w:numId w:val="4"/>
              </w:numPr>
              <w:rPr>
                <w:color w:val="000000" w:themeColor="text1"/>
                <w:szCs w:val="28"/>
              </w:rPr>
            </w:pPr>
            <w:r w:rsidRPr="003B6E32">
              <w:rPr>
                <w:color w:val="000000" w:themeColor="text1"/>
                <w:szCs w:val="28"/>
              </w:rPr>
              <w:t>Introduce a local payment rate equivalent to an MUR</w:t>
            </w:r>
            <w:bookmarkStart w:id="0" w:name="_GoBack"/>
            <w:bookmarkEnd w:id="0"/>
            <w:r w:rsidRPr="003B6E32">
              <w:rPr>
                <w:color w:val="000000" w:themeColor="text1"/>
                <w:szCs w:val="28"/>
              </w:rPr>
              <w:t xml:space="preserve"> for provision of the service </w:t>
            </w:r>
            <w:r w:rsidR="003B6E32" w:rsidRPr="003B6E32">
              <w:rPr>
                <w:color w:val="000000" w:themeColor="text1"/>
                <w:szCs w:val="28"/>
              </w:rPr>
              <w:t xml:space="preserve">in situations where a CP has already hit the 400 </w:t>
            </w:r>
            <w:proofErr w:type="gramStart"/>
            <w:r w:rsidR="003B6E32" w:rsidRPr="003B6E32">
              <w:rPr>
                <w:color w:val="000000" w:themeColor="text1"/>
                <w:szCs w:val="28"/>
              </w:rPr>
              <w:t>maximum</w:t>
            </w:r>
            <w:proofErr w:type="gramEnd"/>
            <w:r w:rsidR="003B6E32" w:rsidRPr="003B6E32">
              <w:rPr>
                <w:color w:val="000000" w:themeColor="text1"/>
                <w:szCs w:val="28"/>
              </w:rPr>
              <w:t xml:space="preserve"> for the year</w:t>
            </w:r>
            <w:r w:rsidRPr="003B6E32">
              <w:rPr>
                <w:color w:val="000000" w:themeColor="text1"/>
                <w:szCs w:val="28"/>
              </w:rPr>
              <w:t>.</w:t>
            </w:r>
          </w:p>
          <w:p w14:paraId="10F7CC96" w14:textId="194B4151" w:rsidR="003B6E32" w:rsidRPr="003B6E32" w:rsidRDefault="003B6E32" w:rsidP="003B6E32">
            <w:pPr>
              <w:pStyle w:val="ListParagraph"/>
              <w:numPr>
                <w:ilvl w:val="0"/>
                <w:numId w:val="4"/>
              </w:numPr>
              <w:rPr>
                <w:color w:val="000000" w:themeColor="text1"/>
                <w:szCs w:val="28"/>
              </w:rPr>
            </w:pPr>
            <w:r w:rsidRPr="003B6E32">
              <w:rPr>
                <w:color w:val="000000" w:themeColor="text1"/>
                <w:szCs w:val="28"/>
              </w:rPr>
              <w:t>Ensure the PharmOutcomes</w:t>
            </w:r>
            <w:r>
              <w:rPr>
                <w:color w:val="000000" w:themeColor="text1"/>
                <w:szCs w:val="28"/>
              </w:rPr>
              <w:t xml:space="preserve"> IT platform is stripped down to be just a Yes/No confirmation of actions taken</w:t>
            </w:r>
            <w:r w:rsidR="00365C6F">
              <w:rPr>
                <w:color w:val="000000" w:themeColor="text1"/>
                <w:szCs w:val="28"/>
              </w:rPr>
              <w:t xml:space="preserve"> that reflects no additional remuneration for this administration task.</w:t>
            </w:r>
          </w:p>
        </w:tc>
      </w:tr>
      <w:tr w:rsidR="00AC2ACA" w:rsidRPr="00460CB9" w14:paraId="180C9C9B" w14:textId="77777777" w:rsidTr="001535B4">
        <w:trPr>
          <w:trHeight w:val="548"/>
        </w:trPr>
        <w:tc>
          <w:tcPr>
            <w:tcW w:w="9242" w:type="dxa"/>
            <w:gridSpan w:val="4"/>
            <w:shd w:val="clear" w:color="auto" w:fill="auto"/>
            <w:vAlign w:val="center"/>
          </w:tcPr>
          <w:p w14:paraId="2AB25FA9" w14:textId="77777777" w:rsidR="00AC2ACA" w:rsidRDefault="00AC2ACA" w:rsidP="001535B4">
            <w:pPr>
              <w:jc w:val="center"/>
              <w:rPr>
                <w:b/>
                <w:sz w:val="28"/>
                <w:szCs w:val="28"/>
              </w:rPr>
            </w:pPr>
            <w:r>
              <w:rPr>
                <w:b/>
                <w:sz w:val="28"/>
                <w:szCs w:val="28"/>
              </w:rPr>
              <w:t>Time-line &amp; Next Steps for the LPC</w:t>
            </w:r>
          </w:p>
        </w:tc>
      </w:tr>
      <w:tr w:rsidR="00E12F94" w:rsidRPr="00460CB9" w14:paraId="697577A5" w14:textId="77777777" w:rsidTr="00E46D93">
        <w:trPr>
          <w:trHeight w:val="1412"/>
        </w:trPr>
        <w:tc>
          <w:tcPr>
            <w:tcW w:w="9242" w:type="dxa"/>
            <w:gridSpan w:val="4"/>
            <w:shd w:val="clear" w:color="auto" w:fill="auto"/>
            <w:vAlign w:val="center"/>
          </w:tcPr>
          <w:p w14:paraId="2F9356F0" w14:textId="522F559A" w:rsidR="00CF09FC" w:rsidRDefault="00CF09FC" w:rsidP="00B3219E">
            <w:r>
              <w:t>The LPC will publish this</w:t>
            </w:r>
            <w:r w:rsidR="00E12F94">
              <w:t xml:space="preserve"> service participation </w:t>
            </w:r>
            <w:r>
              <w:t>rating</w:t>
            </w:r>
            <w:r w:rsidR="00E12F94">
              <w:t xml:space="preserve"> to contractors in </w:t>
            </w:r>
            <w:r w:rsidR="00E220A4">
              <w:rPr>
                <w:b/>
              </w:rPr>
              <w:t>due course when you indicate the service is to go live.</w:t>
            </w:r>
            <w:r w:rsidR="00E12F94">
              <w:t xml:space="preserve"> </w:t>
            </w:r>
          </w:p>
          <w:p w14:paraId="36E0A15A" w14:textId="5EF647CF" w:rsidR="00E12F94" w:rsidRDefault="00E12F94" w:rsidP="00B3219E">
            <w:r>
              <w:t xml:space="preserve">Publication </w:t>
            </w:r>
            <w:r w:rsidR="00CF09FC">
              <w:t xml:space="preserve">of this recommendation </w:t>
            </w:r>
            <w:r>
              <w:t>will be via individual email and posting on our website.</w:t>
            </w:r>
          </w:p>
          <w:p w14:paraId="629AD8A1" w14:textId="1437575F" w:rsidR="00E12F94" w:rsidRPr="00DA6A3F" w:rsidRDefault="00E12F94" w:rsidP="00D01E8F">
            <w:pPr>
              <w:rPr>
                <w:color w:val="FF0000"/>
              </w:rPr>
            </w:pPr>
            <w:r w:rsidRPr="00DA6A3F">
              <w:rPr>
                <w:color w:val="FF0000"/>
              </w:rPr>
              <w:t>Commissioners are</w:t>
            </w:r>
            <w:r w:rsidR="00CF09FC">
              <w:rPr>
                <w:color w:val="FF0000"/>
              </w:rPr>
              <w:t xml:space="preserve"> asked to </w:t>
            </w:r>
            <w:r w:rsidR="00D01E8F">
              <w:rPr>
                <w:color w:val="FF0000"/>
              </w:rPr>
              <w:t xml:space="preserve">please </w:t>
            </w:r>
            <w:r w:rsidR="00CF09FC">
              <w:rPr>
                <w:color w:val="FF0000"/>
              </w:rPr>
              <w:t>respond promptly</w:t>
            </w:r>
            <w:r w:rsidR="00D01E8F">
              <w:rPr>
                <w:color w:val="FF0000"/>
              </w:rPr>
              <w:t xml:space="preserve"> with feedback / proposed changes so that they can be included within the </w:t>
            </w:r>
            <w:r w:rsidR="00CF09FC">
              <w:rPr>
                <w:color w:val="FF0000"/>
              </w:rPr>
              <w:t>LPC</w:t>
            </w:r>
            <w:r w:rsidR="00CE5827">
              <w:rPr>
                <w:color w:val="FF0000"/>
              </w:rPr>
              <w:t>’s</w:t>
            </w:r>
            <w:r w:rsidR="00CF09FC">
              <w:rPr>
                <w:color w:val="FF0000"/>
              </w:rPr>
              <w:t xml:space="preserve"> recommendation</w:t>
            </w:r>
            <w:r w:rsidR="00D01E8F">
              <w:rPr>
                <w:color w:val="FF0000"/>
              </w:rPr>
              <w:t xml:space="preserve"> to its contractors</w:t>
            </w:r>
            <w:r w:rsidR="00DA6A3F">
              <w:rPr>
                <w:color w:val="FF0000"/>
              </w:rPr>
              <w:t>.</w:t>
            </w:r>
          </w:p>
        </w:tc>
      </w:tr>
      <w:tr w:rsidR="00E12F94" w:rsidRPr="00460CB9" w14:paraId="5EA6B310" w14:textId="77777777" w:rsidTr="001535B4">
        <w:trPr>
          <w:trHeight w:val="557"/>
        </w:trPr>
        <w:tc>
          <w:tcPr>
            <w:tcW w:w="9242" w:type="dxa"/>
            <w:gridSpan w:val="4"/>
            <w:shd w:val="clear" w:color="auto" w:fill="auto"/>
            <w:vAlign w:val="center"/>
          </w:tcPr>
          <w:p w14:paraId="5A7BE901" w14:textId="77777777" w:rsidR="00E12F94" w:rsidRDefault="00E12F94" w:rsidP="001535B4">
            <w:pPr>
              <w:jc w:val="center"/>
              <w:rPr>
                <w:b/>
                <w:sz w:val="28"/>
                <w:szCs w:val="28"/>
              </w:rPr>
            </w:pPr>
            <w:r>
              <w:rPr>
                <w:b/>
                <w:sz w:val="28"/>
                <w:szCs w:val="28"/>
              </w:rPr>
              <w:t>Commissioners response to LPC feedback</w:t>
            </w:r>
          </w:p>
        </w:tc>
      </w:tr>
      <w:tr w:rsidR="00AC2ACA" w:rsidRPr="00460CB9" w14:paraId="5D94BD6A" w14:textId="77777777" w:rsidTr="000E7BBC">
        <w:trPr>
          <w:trHeight w:val="3662"/>
        </w:trPr>
        <w:tc>
          <w:tcPr>
            <w:tcW w:w="9242" w:type="dxa"/>
            <w:gridSpan w:val="4"/>
            <w:shd w:val="clear" w:color="auto" w:fill="auto"/>
          </w:tcPr>
          <w:p w14:paraId="292DB1AF" w14:textId="77777777" w:rsidR="00CF09FC" w:rsidRDefault="00CF09FC" w:rsidP="00DA6A3F">
            <w:pPr>
              <w:rPr>
                <w:color w:val="FF0000"/>
                <w:szCs w:val="28"/>
              </w:rPr>
            </w:pPr>
          </w:p>
          <w:p w14:paraId="3C3055A3" w14:textId="41DCE400" w:rsidR="00AC2ACA" w:rsidRDefault="004A4DA0" w:rsidP="00DA6A3F">
            <w:pPr>
              <w:rPr>
                <w:color w:val="FF0000"/>
                <w:szCs w:val="28"/>
              </w:rPr>
            </w:pPr>
            <w:r>
              <w:rPr>
                <w:color w:val="FF0000"/>
                <w:szCs w:val="28"/>
              </w:rPr>
              <w:t>Please enter response here,</w:t>
            </w:r>
            <w:r w:rsidR="00DA6A3F">
              <w:rPr>
                <w:color w:val="FF0000"/>
                <w:szCs w:val="28"/>
              </w:rPr>
              <w:t xml:space="preserve"> return</w:t>
            </w:r>
            <w:r>
              <w:rPr>
                <w:color w:val="FF0000"/>
                <w:szCs w:val="28"/>
              </w:rPr>
              <w:t>ing</w:t>
            </w:r>
            <w:r w:rsidR="00DA6A3F">
              <w:rPr>
                <w:color w:val="FF0000"/>
                <w:szCs w:val="28"/>
              </w:rPr>
              <w:t xml:space="preserve"> promptly to </w:t>
            </w:r>
            <w:hyperlink r:id="rId8" w:history="1">
              <w:r w:rsidR="00DA6A3F" w:rsidRPr="00286D59">
                <w:rPr>
                  <w:rStyle w:val="Hyperlink"/>
                  <w:szCs w:val="28"/>
                </w:rPr>
                <w:t>richard.buxton@hampshirelpc.org.uk</w:t>
              </w:r>
            </w:hyperlink>
            <w:r w:rsidR="00DA6A3F">
              <w:rPr>
                <w:color w:val="FF0000"/>
                <w:szCs w:val="28"/>
              </w:rPr>
              <w:t xml:space="preserve"> </w:t>
            </w:r>
          </w:p>
          <w:p w14:paraId="25522C7A" w14:textId="77777777" w:rsidR="00DA6A3F" w:rsidRDefault="00DA6A3F" w:rsidP="00DA6A3F">
            <w:pPr>
              <w:rPr>
                <w:color w:val="FF0000"/>
                <w:szCs w:val="28"/>
              </w:rPr>
            </w:pPr>
          </w:p>
          <w:p w14:paraId="5C810B20" w14:textId="77777777" w:rsidR="00DA6A3F" w:rsidRPr="00DA6A3F" w:rsidRDefault="00DA6A3F" w:rsidP="00DA6A3F">
            <w:pPr>
              <w:rPr>
                <w:color w:val="FF0000"/>
                <w:szCs w:val="28"/>
              </w:rPr>
            </w:pPr>
          </w:p>
        </w:tc>
      </w:tr>
      <w:tr w:rsidR="00AC2ACA" w:rsidRPr="00460CB9" w14:paraId="36EABD72" w14:textId="77777777" w:rsidTr="0053198F">
        <w:trPr>
          <w:trHeight w:val="284"/>
        </w:trPr>
        <w:tc>
          <w:tcPr>
            <w:tcW w:w="2733" w:type="dxa"/>
            <w:gridSpan w:val="3"/>
            <w:tcBorders>
              <w:right w:val="single" w:sz="4" w:space="0" w:color="auto"/>
            </w:tcBorders>
            <w:shd w:val="clear" w:color="auto" w:fill="95B3D7" w:themeFill="accent1" w:themeFillTint="99"/>
          </w:tcPr>
          <w:p w14:paraId="2E336FD7" w14:textId="77777777" w:rsidR="00AC2ACA" w:rsidRPr="00460CB9" w:rsidRDefault="00AC2ACA" w:rsidP="00460CB9">
            <w:pPr>
              <w:jc w:val="center"/>
              <w:rPr>
                <w:b/>
              </w:rPr>
            </w:pPr>
            <w:r w:rsidRPr="00460CB9">
              <w:rPr>
                <w:b/>
              </w:rPr>
              <w:lastRenderedPageBreak/>
              <w:t>Point Covered</w:t>
            </w:r>
          </w:p>
        </w:tc>
        <w:tc>
          <w:tcPr>
            <w:tcW w:w="6509" w:type="dxa"/>
            <w:tcBorders>
              <w:left w:val="single" w:sz="4" w:space="0" w:color="auto"/>
            </w:tcBorders>
            <w:shd w:val="clear" w:color="auto" w:fill="95B3D7" w:themeFill="accent1" w:themeFillTint="99"/>
          </w:tcPr>
          <w:p w14:paraId="065646E7" w14:textId="77777777" w:rsidR="00AC2ACA" w:rsidRPr="00460CB9" w:rsidRDefault="00AC2ACA" w:rsidP="00460CB9">
            <w:pPr>
              <w:jc w:val="center"/>
              <w:rPr>
                <w:b/>
              </w:rPr>
            </w:pPr>
            <w:r w:rsidRPr="00460CB9">
              <w:rPr>
                <w:b/>
              </w:rPr>
              <w:t xml:space="preserve">Action </w:t>
            </w:r>
            <w:r>
              <w:rPr>
                <w:b/>
              </w:rPr>
              <w:t>or Notes</w:t>
            </w:r>
          </w:p>
        </w:tc>
      </w:tr>
      <w:tr w:rsidR="00AC2ACA" w14:paraId="74C8BB4C" w14:textId="77777777" w:rsidTr="0053198F">
        <w:trPr>
          <w:trHeight w:val="567"/>
        </w:trPr>
        <w:tc>
          <w:tcPr>
            <w:tcW w:w="401" w:type="dxa"/>
            <w:gridSpan w:val="2"/>
            <w:tcBorders>
              <w:right w:val="nil"/>
            </w:tcBorders>
          </w:tcPr>
          <w:p w14:paraId="66729AB9" w14:textId="77777777" w:rsidR="00AC2ACA" w:rsidRDefault="00AC2ACA"/>
        </w:tc>
        <w:tc>
          <w:tcPr>
            <w:tcW w:w="8841" w:type="dxa"/>
            <w:gridSpan w:val="2"/>
            <w:tcBorders>
              <w:left w:val="nil"/>
            </w:tcBorders>
            <w:vAlign w:val="center"/>
          </w:tcPr>
          <w:p w14:paraId="55A6A304" w14:textId="77777777" w:rsidR="00AC2ACA" w:rsidRPr="0053198F" w:rsidRDefault="00AC2ACA" w:rsidP="00460CB9">
            <w:pPr>
              <w:jc w:val="center"/>
              <w:rPr>
                <w:sz w:val="28"/>
                <w:szCs w:val="28"/>
              </w:rPr>
            </w:pPr>
            <w:r w:rsidRPr="0053198F">
              <w:rPr>
                <w:b/>
                <w:sz w:val="28"/>
                <w:szCs w:val="28"/>
              </w:rPr>
              <w:t>LPC Consultation</w:t>
            </w:r>
          </w:p>
        </w:tc>
      </w:tr>
      <w:tr w:rsidR="00AC2ACA" w14:paraId="2FA224F7" w14:textId="77777777" w:rsidTr="000D51A7">
        <w:trPr>
          <w:trHeight w:val="454"/>
        </w:trPr>
        <w:tc>
          <w:tcPr>
            <w:tcW w:w="2733" w:type="dxa"/>
            <w:gridSpan w:val="3"/>
            <w:vAlign w:val="center"/>
          </w:tcPr>
          <w:p w14:paraId="53C6538F" w14:textId="77777777" w:rsidR="00AC2ACA" w:rsidRDefault="00AC2ACA" w:rsidP="0053198F">
            <w:r>
              <w:t xml:space="preserve">LPC Consulted? </w:t>
            </w:r>
          </w:p>
        </w:tc>
        <w:tc>
          <w:tcPr>
            <w:tcW w:w="6509" w:type="dxa"/>
            <w:shd w:val="clear" w:color="auto" w:fill="00B050"/>
          </w:tcPr>
          <w:p w14:paraId="7A808603" w14:textId="5F2F26CF" w:rsidR="00AC2ACA" w:rsidRDefault="00B511A9">
            <w:r>
              <w:t>Yes</w:t>
            </w:r>
          </w:p>
        </w:tc>
      </w:tr>
      <w:tr w:rsidR="00AC2ACA" w14:paraId="5AC5A2C0" w14:textId="77777777" w:rsidTr="000A34AA">
        <w:trPr>
          <w:trHeight w:val="881"/>
        </w:trPr>
        <w:tc>
          <w:tcPr>
            <w:tcW w:w="2733" w:type="dxa"/>
            <w:gridSpan w:val="3"/>
            <w:vAlign w:val="center"/>
          </w:tcPr>
          <w:p w14:paraId="58245467" w14:textId="27C29BDE" w:rsidR="00AC2ACA" w:rsidRDefault="00AC2ACA" w:rsidP="00E8310F">
            <w:r>
              <w:t>LPC Consulted with sufficient time to comment?</w:t>
            </w:r>
          </w:p>
        </w:tc>
        <w:tc>
          <w:tcPr>
            <w:tcW w:w="6509" w:type="dxa"/>
            <w:shd w:val="clear" w:color="auto" w:fill="00B050"/>
          </w:tcPr>
          <w:p w14:paraId="04C6D428" w14:textId="597799FF" w:rsidR="00AC2ACA" w:rsidRDefault="00B511A9" w:rsidP="00B2108E">
            <w:r>
              <w:t>Yes</w:t>
            </w:r>
          </w:p>
        </w:tc>
      </w:tr>
      <w:tr w:rsidR="00AC2ACA" w14:paraId="5E44D587" w14:textId="77777777" w:rsidTr="0053198F">
        <w:trPr>
          <w:trHeight w:val="567"/>
        </w:trPr>
        <w:tc>
          <w:tcPr>
            <w:tcW w:w="401" w:type="dxa"/>
            <w:gridSpan w:val="2"/>
            <w:tcBorders>
              <w:right w:val="nil"/>
            </w:tcBorders>
          </w:tcPr>
          <w:p w14:paraId="6B017DA2" w14:textId="77777777" w:rsidR="00AC2ACA" w:rsidRDefault="00AC2ACA"/>
        </w:tc>
        <w:tc>
          <w:tcPr>
            <w:tcW w:w="8841" w:type="dxa"/>
            <w:gridSpan w:val="2"/>
            <w:tcBorders>
              <w:left w:val="nil"/>
            </w:tcBorders>
            <w:vAlign w:val="center"/>
          </w:tcPr>
          <w:p w14:paraId="333DA08B" w14:textId="77777777" w:rsidR="00AC2ACA" w:rsidRPr="0053198F" w:rsidRDefault="00AC2ACA" w:rsidP="00460CB9">
            <w:pPr>
              <w:jc w:val="center"/>
              <w:rPr>
                <w:b/>
                <w:sz w:val="28"/>
                <w:szCs w:val="28"/>
              </w:rPr>
            </w:pPr>
            <w:r w:rsidRPr="0053198F">
              <w:rPr>
                <w:b/>
                <w:sz w:val="28"/>
                <w:szCs w:val="28"/>
              </w:rPr>
              <w:t>Remuneration</w:t>
            </w:r>
          </w:p>
        </w:tc>
      </w:tr>
      <w:tr w:rsidR="00AC2ACA" w14:paraId="7CBA263C" w14:textId="77777777" w:rsidTr="00C00F2C">
        <w:trPr>
          <w:trHeight w:val="908"/>
        </w:trPr>
        <w:tc>
          <w:tcPr>
            <w:tcW w:w="2733" w:type="dxa"/>
            <w:gridSpan w:val="3"/>
            <w:vAlign w:val="center"/>
          </w:tcPr>
          <w:p w14:paraId="2AA71D79" w14:textId="55EA3453" w:rsidR="00AC2ACA" w:rsidRDefault="00AC2ACA" w:rsidP="0053198F">
            <w:r>
              <w:t>Does remuneration include/cover set up costs, backfill, consumables etc</w:t>
            </w:r>
            <w:r w:rsidR="007F001C">
              <w:t>..?</w:t>
            </w:r>
          </w:p>
        </w:tc>
        <w:tc>
          <w:tcPr>
            <w:tcW w:w="6509" w:type="dxa"/>
            <w:tcBorders>
              <w:bottom w:val="single" w:sz="4" w:space="0" w:color="auto"/>
            </w:tcBorders>
            <w:shd w:val="clear" w:color="auto" w:fill="00B050"/>
          </w:tcPr>
          <w:p w14:paraId="6A05C625" w14:textId="77777777" w:rsidR="00C00F2C" w:rsidRDefault="00DB5CAC" w:rsidP="00DB5CAC">
            <w:r>
              <w:t xml:space="preserve">No </w:t>
            </w:r>
            <w:r w:rsidR="00C00F2C">
              <w:t>set-up, b</w:t>
            </w:r>
            <w:r>
              <w:t xml:space="preserve">ackfill </w:t>
            </w:r>
            <w:r w:rsidR="00C00F2C">
              <w:t>or consumable costs involved.</w:t>
            </w:r>
          </w:p>
          <w:p w14:paraId="0708EEB4" w14:textId="68D6932D" w:rsidR="00DE6C57" w:rsidRDefault="00DE6C57" w:rsidP="00DB5CAC"/>
        </w:tc>
      </w:tr>
      <w:tr w:rsidR="00AC2ACA" w14:paraId="6A7452EE" w14:textId="77777777" w:rsidTr="00C00F2C">
        <w:trPr>
          <w:trHeight w:val="1412"/>
        </w:trPr>
        <w:tc>
          <w:tcPr>
            <w:tcW w:w="2733" w:type="dxa"/>
            <w:gridSpan w:val="3"/>
            <w:tcBorders>
              <w:bottom w:val="single" w:sz="4" w:space="0" w:color="auto"/>
            </w:tcBorders>
            <w:vAlign w:val="center"/>
          </w:tcPr>
          <w:p w14:paraId="0C59CA81" w14:textId="7A8F5C58" w:rsidR="00AC2ACA" w:rsidRDefault="00AC2ACA" w:rsidP="0053198F">
            <w:r>
              <w:t>Does the payment structure use a system that is suitable for all contractors and are the payment terms acceptable?</w:t>
            </w:r>
          </w:p>
        </w:tc>
        <w:tc>
          <w:tcPr>
            <w:tcW w:w="6509" w:type="dxa"/>
            <w:tcBorders>
              <w:bottom w:val="single" w:sz="4" w:space="0" w:color="auto"/>
            </w:tcBorders>
            <w:shd w:val="clear" w:color="auto" w:fill="00B050"/>
          </w:tcPr>
          <w:p w14:paraId="62D4469D" w14:textId="77777777" w:rsidR="00AC2ACA" w:rsidRDefault="005F25A9">
            <w:r>
              <w:t>Yes, PharmOutcomes.</w:t>
            </w:r>
          </w:p>
          <w:p w14:paraId="6BBA7055" w14:textId="792A8A21" w:rsidR="00697410" w:rsidRDefault="000D51A7" w:rsidP="0041049D">
            <w:r>
              <w:t>Automated claims</w:t>
            </w:r>
            <w:r w:rsidR="000E4655">
              <w:t xml:space="preserve"> sent monthly.</w:t>
            </w:r>
          </w:p>
        </w:tc>
      </w:tr>
      <w:tr w:rsidR="00AC2ACA" w14:paraId="217E4207" w14:textId="77777777" w:rsidTr="003B6E32">
        <w:trPr>
          <w:trHeight w:val="284"/>
        </w:trPr>
        <w:tc>
          <w:tcPr>
            <w:tcW w:w="2733" w:type="dxa"/>
            <w:gridSpan w:val="3"/>
            <w:shd w:val="clear" w:color="auto" w:fill="auto"/>
            <w:vAlign w:val="center"/>
          </w:tcPr>
          <w:p w14:paraId="0B9E5D97" w14:textId="1E8A5F09" w:rsidR="00AC2ACA" w:rsidRDefault="00AC2ACA" w:rsidP="0053198F">
            <w:r>
              <w:t>Where equipment is required who pr</w:t>
            </w:r>
            <w:r w:rsidR="007F001C">
              <w:t>ovides/calibrates/services this?</w:t>
            </w:r>
            <w:r>
              <w:t xml:space="preserve"> If contractor</w:t>
            </w:r>
            <w:r w:rsidR="007F001C">
              <w:t>,</w:t>
            </w:r>
            <w:r>
              <w:t xml:space="preserve"> does remuneration sufficiently cover the cost of this?</w:t>
            </w:r>
          </w:p>
        </w:tc>
        <w:tc>
          <w:tcPr>
            <w:tcW w:w="6509" w:type="dxa"/>
            <w:tcBorders>
              <w:bottom w:val="single" w:sz="4" w:space="0" w:color="auto"/>
            </w:tcBorders>
            <w:shd w:val="clear" w:color="auto" w:fill="00B050"/>
          </w:tcPr>
          <w:p w14:paraId="55791743" w14:textId="70CC880C" w:rsidR="00C00F2C" w:rsidRDefault="00C00F2C" w:rsidP="00C00F2C">
            <w:r>
              <w:t>No equipment required.</w:t>
            </w:r>
          </w:p>
        </w:tc>
      </w:tr>
      <w:tr w:rsidR="00674853" w14:paraId="24AC69E5" w14:textId="77777777" w:rsidTr="003B6E32">
        <w:trPr>
          <w:trHeight w:val="881"/>
        </w:trPr>
        <w:tc>
          <w:tcPr>
            <w:tcW w:w="2733" w:type="dxa"/>
            <w:gridSpan w:val="3"/>
            <w:vAlign w:val="center"/>
          </w:tcPr>
          <w:p w14:paraId="10BCC630" w14:textId="53F3C005" w:rsidR="00674853" w:rsidRDefault="00674853" w:rsidP="0053198F">
            <w:r>
              <w:t>Is remuneration fair?</w:t>
            </w:r>
          </w:p>
        </w:tc>
        <w:tc>
          <w:tcPr>
            <w:tcW w:w="6509" w:type="dxa"/>
            <w:shd w:val="clear" w:color="auto" w:fill="00B050"/>
          </w:tcPr>
          <w:p w14:paraId="026C6892" w14:textId="13F45852" w:rsidR="003B6E32" w:rsidRDefault="003B6E32" w:rsidP="00636170">
            <w:r>
              <w:t>Payment of MUR or NMS fee from NHS England in the usual way for services provided.</w:t>
            </w:r>
          </w:p>
          <w:p w14:paraId="350BE712" w14:textId="5DC7171E" w:rsidR="00697410" w:rsidRDefault="00C00F2C" w:rsidP="003B6E32">
            <w:pPr>
              <w:shd w:val="clear" w:color="auto" w:fill="FFC000"/>
            </w:pPr>
            <w:r w:rsidRPr="003B6E32">
              <w:rPr>
                <w:shd w:val="clear" w:color="auto" w:fill="FFC000"/>
              </w:rPr>
              <w:t xml:space="preserve">No </w:t>
            </w:r>
            <w:r w:rsidR="003B6E32" w:rsidRPr="003B6E32">
              <w:rPr>
                <w:shd w:val="clear" w:color="auto" w:fill="FFC000"/>
              </w:rPr>
              <w:t xml:space="preserve">additional </w:t>
            </w:r>
            <w:r w:rsidRPr="003B6E32">
              <w:rPr>
                <w:shd w:val="clear" w:color="auto" w:fill="FFC000"/>
              </w:rPr>
              <w:t>remuneration</w:t>
            </w:r>
            <w:r w:rsidR="003B6E32" w:rsidRPr="003B6E32">
              <w:rPr>
                <w:shd w:val="clear" w:color="auto" w:fill="FFC000"/>
              </w:rPr>
              <w:t xml:space="preserve"> </w:t>
            </w:r>
            <w:r w:rsidR="00BE2D57" w:rsidRPr="003B6E32">
              <w:rPr>
                <w:shd w:val="clear" w:color="auto" w:fill="FFC000"/>
              </w:rPr>
              <w:t xml:space="preserve">proposed for </w:t>
            </w:r>
            <w:r w:rsidR="003B6E32" w:rsidRPr="003B6E32">
              <w:rPr>
                <w:shd w:val="clear" w:color="auto" w:fill="FFC000"/>
              </w:rPr>
              <w:t>the minimal data input confi</w:t>
            </w:r>
            <w:r w:rsidR="00BE2D57" w:rsidRPr="003B6E32">
              <w:rPr>
                <w:shd w:val="clear" w:color="auto" w:fill="FFC000"/>
              </w:rPr>
              <w:t>rmation by CP.</w:t>
            </w:r>
          </w:p>
        </w:tc>
      </w:tr>
      <w:tr w:rsidR="00674853" w14:paraId="573E4F34" w14:textId="77777777" w:rsidTr="0053198F">
        <w:trPr>
          <w:trHeight w:val="567"/>
        </w:trPr>
        <w:tc>
          <w:tcPr>
            <w:tcW w:w="250" w:type="dxa"/>
            <w:tcBorders>
              <w:right w:val="nil"/>
            </w:tcBorders>
            <w:vAlign w:val="center"/>
          </w:tcPr>
          <w:p w14:paraId="03B7D479" w14:textId="77777777" w:rsidR="00674853" w:rsidRDefault="00674853" w:rsidP="0053198F"/>
        </w:tc>
        <w:tc>
          <w:tcPr>
            <w:tcW w:w="8992" w:type="dxa"/>
            <w:gridSpan w:val="3"/>
            <w:tcBorders>
              <w:left w:val="nil"/>
            </w:tcBorders>
            <w:vAlign w:val="center"/>
          </w:tcPr>
          <w:p w14:paraId="3E5ED5D6" w14:textId="77777777" w:rsidR="00674853" w:rsidRPr="0053198F" w:rsidRDefault="00674853" w:rsidP="0053198F">
            <w:pPr>
              <w:jc w:val="center"/>
              <w:rPr>
                <w:b/>
                <w:sz w:val="28"/>
                <w:szCs w:val="28"/>
              </w:rPr>
            </w:pPr>
            <w:r>
              <w:rPr>
                <w:b/>
                <w:sz w:val="28"/>
                <w:szCs w:val="28"/>
              </w:rPr>
              <w:t>Is/does t</w:t>
            </w:r>
            <w:r w:rsidRPr="0053198F">
              <w:rPr>
                <w:b/>
                <w:sz w:val="28"/>
                <w:szCs w:val="28"/>
              </w:rPr>
              <w:t>he Service</w:t>
            </w:r>
            <w:proofErr w:type="gramStart"/>
            <w:r>
              <w:rPr>
                <w:b/>
                <w:sz w:val="28"/>
                <w:szCs w:val="28"/>
              </w:rPr>
              <w:t>.....</w:t>
            </w:r>
            <w:proofErr w:type="gramEnd"/>
          </w:p>
        </w:tc>
      </w:tr>
      <w:tr w:rsidR="00674853" w14:paraId="4477199B" w14:textId="77777777" w:rsidTr="000D51A7">
        <w:trPr>
          <w:trHeight w:val="386"/>
        </w:trPr>
        <w:tc>
          <w:tcPr>
            <w:tcW w:w="2733" w:type="dxa"/>
            <w:gridSpan w:val="3"/>
            <w:vAlign w:val="center"/>
          </w:tcPr>
          <w:p w14:paraId="0C715D47" w14:textId="77777777" w:rsidR="00674853" w:rsidRDefault="00674853" w:rsidP="00E8310F">
            <w:r>
              <w:t>Sustainable?</w:t>
            </w:r>
          </w:p>
        </w:tc>
        <w:tc>
          <w:tcPr>
            <w:tcW w:w="6509" w:type="dxa"/>
            <w:shd w:val="clear" w:color="auto" w:fill="00B050"/>
          </w:tcPr>
          <w:p w14:paraId="74142908" w14:textId="0330BD04" w:rsidR="00674853" w:rsidRDefault="00B511A9">
            <w:r>
              <w:t>Yes</w:t>
            </w:r>
          </w:p>
        </w:tc>
      </w:tr>
      <w:tr w:rsidR="00674853" w14:paraId="16A74219" w14:textId="77777777" w:rsidTr="000D51A7">
        <w:trPr>
          <w:trHeight w:val="935"/>
        </w:trPr>
        <w:tc>
          <w:tcPr>
            <w:tcW w:w="2733" w:type="dxa"/>
            <w:gridSpan w:val="3"/>
            <w:vAlign w:val="center"/>
          </w:tcPr>
          <w:p w14:paraId="281E3955" w14:textId="109E1D2A" w:rsidR="00674853" w:rsidRDefault="00674853" w:rsidP="00E8310F">
            <w:r>
              <w:t>Clinically sound and in line with appropriate National or local guidance?</w:t>
            </w:r>
          </w:p>
        </w:tc>
        <w:tc>
          <w:tcPr>
            <w:tcW w:w="6509" w:type="dxa"/>
            <w:shd w:val="clear" w:color="auto" w:fill="00B050"/>
          </w:tcPr>
          <w:p w14:paraId="13899449" w14:textId="77777777" w:rsidR="000E4655" w:rsidRDefault="000E4655" w:rsidP="005F25A9">
            <w:r>
              <w:t>Yes</w:t>
            </w:r>
          </w:p>
          <w:p w14:paraId="2A8A4C8B" w14:textId="6EFE5289" w:rsidR="00643981" w:rsidRDefault="00C04DD1" w:rsidP="00C00F2C">
            <w:r>
              <w:t xml:space="preserve">Reduce the risk of </w:t>
            </w:r>
            <w:r w:rsidR="00C00F2C">
              <w:t>medicines concordance issues and subsequent re-admittance into hospital</w:t>
            </w:r>
          </w:p>
        </w:tc>
      </w:tr>
      <w:tr w:rsidR="00674853" w14:paraId="5B9C68F9" w14:textId="77777777" w:rsidTr="00593BF0">
        <w:trPr>
          <w:trHeight w:val="341"/>
        </w:trPr>
        <w:tc>
          <w:tcPr>
            <w:tcW w:w="2733" w:type="dxa"/>
            <w:gridSpan w:val="3"/>
            <w:vAlign w:val="center"/>
          </w:tcPr>
          <w:p w14:paraId="299F6524" w14:textId="200A6A18" w:rsidR="00674853" w:rsidRDefault="00674853" w:rsidP="00E8310F">
            <w:r>
              <w:t>Enhance patient care?</w:t>
            </w:r>
          </w:p>
        </w:tc>
        <w:tc>
          <w:tcPr>
            <w:tcW w:w="6509" w:type="dxa"/>
            <w:tcBorders>
              <w:bottom w:val="single" w:sz="4" w:space="0" w:color="auto"/>
            </w:tcBorders>
            <w:shd w:val="clear" w:color="auto" w:fill="00B050"/>
          </w:tcPr>
          <w:p w14:paraId="09D160C2" w14:textId="77777777" w:rsidR="00C04DD1" w:rsidRDefault="00C04DD1" w:rsidP="000E4655">
            <w:r>
              <w:t xml:space="preserve">Yes. </w:t>
            </w:r>
          </w:p>
          <w:p w14:paraId="62F7E86C" w14:textId="05B6D9D0" w:rsidR="00674853" w:rsidRDefault="00C00F2C" w:rsidP="000E4655">
            <w:r>
              <w:t>Improved medicines concordance and patient health outcomes.</w:t>
            </w:r>
          </w:p>
        </w:tc>
      </w:tr>
      <w:tr w:rsidR="00674853" w14:paraId="125299A8" w14:textId="77777777" w:rsidTr="00593BF0">
        <w:trPr>
          <w:trHeight w:val="872"/>
        </w:trPr>
        <w:tc>
          <w:tcPr>
            <w:tcW w:w="2733" w:type="dxa"/>
            <w:gridSpan w:val="3"/>
            <w:vAlign w:val="center"/>
          </w:tcPr>
          <w:p w14:paraId="1A740E52" w14:textId="0D962D3A" w:rsidR="00674853" w:rsidRDefault="00674853" w:rsidP="00E8310F">
            <w:r>
              <w:t>Have suitable monitoring arrangements and termination clauses?</w:t>
            </w:r>
          </w:p>
        </w:tc>
        <w:tc>
          <w:tcPr>
            <w:tcW w:w="6509" w:type="dxa"/>
            <w:shd w:val="clear" w:color="auto" w:fill="auto"/>
          </w:tcPr>
          <w:p w14:paraId="71562EE9" w14:textId="6F125DB1" w:rsidR="00C8050F" w:rsidRDefault="00593BF0">
            <w:r>
              <w:t>N/A</w:t>
            </w:r>
          </w:p>
        </w:tc>
      </w:tr>
      <w:tr w:rsidR="00674853" w14:paraId="2FF73E44" w14:textId="77777777" w:rsidTr="000D51A7">
        <w:trPr>
          <w:trHeight w:val="284"/>
        </w:trPr>
        <w:tc>
          <w:tcPr>
            <w:tcW w:w="2733" w:type="dxa"/>
            <w:gridSpan w:val="3"/>
            <w:vAlign w:val="center"/>
          </w:tcPr>
          <w:p w14:paraId="05DD82FF" w14:textId="2CAA5079" w:rsidR="00674853" w:rsidRDefault="00674853" w:rsidP="00E8310F">
            <w:r>
              <w:t>Enhance relationships with other HCPs?</w:t>
            </w:r>
          </w:p>
        </w:tc>
        <w:tc>
          <w:tcPr>
            <w:tcW w:w="6509" w:type="dxa"/>
            <w:shd w:val="clear" w:color="auto" w:fill="00B050"/>
          </w:tcPr>
          <w:p w14:paraId="25071F22" w14:textId="495A4212" w:rsidR="000E4655" w:rsidRDefault="000E4655">
            <w:r>
              <w:t>Yes</w:t>
            </w:r>
          </w:p>
          <w:p w14:paraId="71E82A97" w14:textId="4FBCBA5F" w:rsidR="00BE2D57" w:rsidRDefault="00BE2D57">
            <w:r>
              <w:t>Builds relationships between hospital pharmacists, MMTs, CPs &amp; GPs due to increased collaborative working.</w:t>
            </w:r>
          </w:p>
          <w:p w14:paraId="1DF7369F" w14:textId="52CEB337" w:rsidR="00674853" w:rsidRDefault="00674853" w:rsidP="00593BF0"/>
        </w:tc>
      </w:tr>
      <w:tr w:rsidR="00674853" w14:paraId="0663853B" w14:textId="77777777" w:rsidTr="003B6E32">
        <w:trPr>
          <w:trHeight w:val="404"/>
        </w:trPr>
        <w:tc>
          <w:tcPr>
            <w:tcW w:w="2733" w:type="dxa"/>
            <w:gridSpan w:val="3"/>
            <w:vAlign w:val="center"/>
          </w:tcPr>
          <w:p w14:paraId="3B1C7BA3" w14:textId="77777777" w:rsidR="00674853" w:rsidRDefault="00674853" w:rsidP="00E8310F">
            <w:r>
              <w:t>Deliverable?</w:t>
            </w:r>
          </w:p>
        </w:tc>
        <w:tc>
          <w:tcPr>
            <w:tcW w:w="6509" w:type="dxa"/>
            <w:tcBorders>
              <w:bottom w:val="single" w:sz="4" w:space="0" w:color="auto"/>
            </w:tcBorders>
            <w:shd w:val="clear" w:color="auto" w:fill="00B050"/>
          </w:tcPr>
          <w:p w14:paraId="5D0E3DBE" w14:textId="0E4B6A43" w:rsidR="00674853" w:rsidRDefault="00B511A9" w:rsidP="00E8310F">
            <w:r>
              <w:t>Yes</w:t>
            </w:r>
          </w:p>
        </w:tc>
      </w:tr>
      <w:tr w:rsidR="00674853" w14:paraId="3E4D7843" w14:textId="77777777" w:rsidTr="003B6E32">
        <w:trPr>
          <w:trHeight w:val="908"/>
        </w:trPr>
        <w:tc>
          <w:tcPr>
            <w:tcW w:w="2733" w:type="dxa"/>
            <w:gridSpan w:val="3"/>
            <w:vAlign w:val="center"/>
          </w:tcPr>
          <w:p w14:paraId="32FAEECB" w14:textId="77777777" w:rsidR="00674853" w:rsidRDefault="00674853" w:rsidP="00E8310F">
            <w:r>
              <w:lastRenderedPageBreak/>
              <w:t>Attractive enough for contractors to consider it worthwhile?</w:t>
            </w:r>
          </w:p>
        </w:tc>
        <w:tc>
          <w:tcPr>
            <w:tcW w:w="6509" w:type="dxa"/>
            <w:tcBorders>
              <w:bottom w:val="single" w:sz="4" w:space="0" w:color="auto"/>
            </w:tcBorders>
            <w:shd w:val="clear" w:color="auto" w:fill="00B050"/>
          </w:tcPr>
          <w:p w14:paraId="39CED23C" w14:textId="77777777" w:rsidR="003B6E32" w:rsidRDefault="003B6E32" w:rsidP="003B6B9A">
            <w:r>
              <w:t>Yes.</w:t>
            </w:r>
          </w:p>
          <w:p w14:paraId="70C78EC4" w14:textId="77777777" w:rsidR="003B6E32" w:rsidRDefault="003B6E32" w:rsidP="003B6B9A">
            <w:r>
              <w:t>Useful additional service opportunity for MURs or NMS.</w:t>
            </w:r>
          </w:p>
          <w:p w14:paraId="5FA7AABA" w14:textId="6B42FC36" w:rsidR="0069404F" w:rsidRDefault="00C00F2C" w:rsidP="003B6E32">
            <w:pPr>
              <w:shd w:val="clear" w:color="auto" w:fill="FFC000"/>
            </w:pPr>
            <w:r w:rsidRPr="003B6E32">
              <w:rPr>
                <w:shd w:val="clear" w:color="auto" w:fill="FFC000"/>
              </w:rPr>
              <w:t>No</w:t>
            </w:r>
            <w:r w:rsidR="003B6E32" w:rsidRPr="003B6E32">
              <w:rPr>
                <w:shd w:val="clear" w:color="auto" w:fill="FFC000"/>
              </w:rPr>
              <w:t xml:space="preserve"> additional remuneration for minor administration task of confirmation of referral completion.</w:t>
            </w:r>
          </w:p>
        </w:tc>
      </w:tr>
      <w:tr w:rsidR="00674853" w14:paraId="2F208423" w14:textId="77777777" w:rsidTr="00A0378A">
        <w:trPr>
          <w:trHeight w:val="944"/>
        </w:trPr>
        <w:tc>
          <w:tcPr>
            <w:tcW w:w="2733" w:type="dxa"/>
            <w:gridSpan w:val="3"/>
            <w:vAlign w:val="center"/>
          </w:tcPr>
          <w:p w14:paraId="3D0B8240" w14:textId="32BCE8D2" w:rsidR="00674853" w:rsidRDefault="00674853" w:rsidP="00E8310F">
            <w:r>
              <w:t>Have performance criteria that supports a quality service?</w:t>
            </w:r>
          </w:p>
        </w:tc>
        <w:tc>
          <w:tcPr>
            <w:tcW w:w="6509" w:type="dxa"/>
            <w:shd w:val="clear" w:color="auto" w:fill="FF0000"/>
          </w:tcPr>
          <w:p w14:paraId="2E1E7C4E" w14:textId="1447E392" w:rsidR="00A0378A" w:rsidRDefault="00A0378A" w:rsidP="00A0378A">
            <w:r>
              <w:t>SOP to be developed.</w:t>
            </w:r>
          </w:p>
          <w:p w14:paraId="1646BDEF" w14:textId="77EF0F94" w:rsidR="0069404F" w:rsidRDefault="00BE2D57" w:rsidP="00A0378A">
            <w:r>
              <w:t>Dorset County Hospital can be used as a model</w:t>
            </w:r>
            <w:r w:rsidR="00A0378A">
              <w:t xml:space="preserve"> – see below</w:t>
            </w:r>
            <w:r>
              <w:t>.</w:t>
            </w:r>
          </w:p>
          <w:p w14:paraId="69F64E0C" w14:textId="04524CA5" w:rsidR="00BE2D57" w:rsidRDefault="00BE2D57" w:rsidP="00A0378A">
            <w:pPr>
              <w:ind w:left="310"/>
            </w:pPr>
            <w:r>
              <w:t>Patient consent sought for information to be entered onto PharmOutcomes and patient to be referred.</w:t>
            </w:r>
          </w:p>
          <w:p w14:paraId="5AF24072" w14:textId="77777777" w:rsidR="00BE2D57" w:rsidRDefault="00BE2D57" w:rsidP="00A0378A">
            <w:pPr>
              <w:ind w:left="310"/>
            </w:pPr>
            <w:r>
              <w:t>NMS eligible drug list consulted if this service considered for referral.</w:t>
            </w:r>
          </w:p>
          <w:p w14:paraId="3FB8B0D9" w14:textId="6E887B51" w:rsidR="001E3075" w:rsidRDefault="001E3075" w:rsidP="00A0378A">
            <w:pPr>
              <w:ind w:left="310"/>
            </w:pPr>
            <w:r>
              <w:t>JAC patient discharge letter attached to PharmOutcomes + reason for referral sent to nominated CP.</w:t>
            </w:r>
          </w:p>
          <w:p w14:paraId="7D9097E7" w14:textId="46AECCAD" w:rsidR="00BE2D57" w:rsidRDefault="001E3075" w:rsidP="00A0378A">
            <w:pPr>
              <w:ind w:left="310"/>
            </w:pPr>
            <w:r>
              <w:t>CP can accept / reject referral.</w:t>
            </w:r>
          </w:p>
        </w:tc>
      </w:tr>
      <w:tr w:rsidR="00674853" w14:paraId="2A5BB2CC" w14:textId="77777777" w:rsidTr="00FA4B0F">
        <w:trPr>
          <w:trHeight w:val="575"/>
        </w:trPr>
        <w:tc>
          <w:tcPr>
            <w:tcW w:w="250" w:type="dxa"/>
            <w:tcBorders>
              <w:right w:val="nil"/>
            </w:tcBorders>
            <w:vAlign w:val="center"/>
          </w:tcPr>
          <w:p w14:paraId="0D79F913" w14:textId="34E7AAF6" w:rsidR="00674853" w:rsidRDefault="00674853" w:rsidP="0053198F"/>
        </w:tc>
        <w:tc>
          <w:tcPr>
            <w:tcW w:w="8992" w:type="dxa"/>
            <w:gridSpan w:val="3"/>
            <w:tcBorders>
              <w:left w:val="nil"/>
            </w:tcBorders>
            <w:vAlign w:val="center"/>
          </w:tcPr>
          <w:p w14:paraId="1B5516E3" w14:textId="77777777" w:rsidR="00674853" w:rsidRPr="0053198F" w:rsidRDefault="00674853" w:rsidP="004B0D0D">
            <w:pPr>
              <w:jc w:val="center"/>
              <w:rPr>
                <w:b/>
                <w:sz w:val="28"/>
                <w:szCs w:val="28"/>
              </w:rPr>
            </w:pPr>
            <w:r w:rsidRPr="0053198F">
              <w:rPr>
                <w:b/>
                <w:sz w:val="28"/>
                <w:szCs w:val="28"/>
              </w:rPr>
              <w:t>Service Delivery</w:t>
            </w:r>
          </w:p>
        </w:tc>
      </w:tr>
      <w:tr w:rsidR="00674853" w14:paraId="67E7670C" w14:textId="77777777" w:rsidTr="003B6E32">
        <w:trPr>
          <w:trHeight w:val="773"/>
        </w:trPr>
        <w:tc>
          <w:tcPr>
            <w:tcW w:w="2733" w:type="dxa"/>
            <w:gridSpan w:val="3"/>
            <w:vAlign w:val="center"/>
          </w:tcPr>
          <w:p w14:paraId="1AE6F5A8" w14:textId="77777777" w:rsidR="00674853" w:rsidRDefault="00674853" w:rsidP="00EA3183">
            <w:r>
              <w:t>Are the performance measures reasonable and achievable?</w:t>
            </w:r>
          </w:p>
        </w:tc>
        <w:tc>
          <w:tcPr>
            <w:tcW w:w="6509" w:type="dxa"/>
            <w:tcBorders>
              <w:bottom w:val="single" w:sz="4" w:space="0" w:color="auto"/>
            </w:tcBorders>
            <w:shd w:val="clear" w:color="auto" w:fill="auto"/>
          </w:tcPr>
          <w:p w14:paraId="53A479F4" w14:textId="6BC5BD02" w:rsidR="00674853" w:rsidRDefault="00A0378A">
            <w:r>
              <w:t>N/A</w:t>
            </w:r>
          </w:p>
        </w:tc>
      </w:tr>
      <w:tr w:rsidR="00674853" w14:paraId="63C6D57B" w14:textId="77777777" w:rsidTr="003B6E32">
        <w:trPr>
          <w:trHeight w:val="944"/>
        </w:trPr>
        <w:tc>
          <w:tcPr>
            <w:tcW w:w="2733" w:type="dxa"/>
            <w:gridSpan w:val="3"/>
            <w:vAlign w:val="center"/>
          </w:tcPr>
          <w:p w14:paraId="3369164B" w14:textId="08F99684" w:rsidR="00674853" w:rsidRDefault="00674853" w:rsidP="00EA3183">
            <w:r>
              <w:t>Is the administration proportional to size or service and remuneration?</w:t>
            </w:r>
          </w:p>
        </w:tc>
        <w:tc>
          <w:tcPr>
            <w:tcW w:w="6509" w:type="dxa"/>
            <w:tcBorders>
              <w:bottom w:val="single" w:sz="4" w:space="0" w:color="auto"/>
            </w:tcBorders>
            <w:shd w:val="clear" w:color="auto" w:fill="FFC000"/>
          </w:tcPr>
          <w:p w14:paraId="48838138" w14:textId="401AA11C" w:rsidR="00E47236" w:rsidRDefault="003B6E32" w:rsidP="005F25A9">
            <w:r>
              <w:t>Yes</w:t>
            </w:r>
          </w:p>
          <w:p w14:paraId="1BF0EA3E" w14:textId="25F7DCFE" w:rsidR="00A0378A" w:rsidRDefault="00A0378A" w:rsidP="005F25A9">
            <w:r>
              <w:t xml:space="preserve">No </w:t>
            </w:r>
            <w:r w:rsidR="003B6E32">
              <w:t>additional remuneration proposed for this minor administration task.</w:t>
            </w:r>
          </w:p>
          <w:p w14:paraId="61891A67" w14:textId="7F929590" w:rsidR="002C6D7D" w:rsidRDefault="002C6D7D" w:rsidP="005F25A9"/>
        </w:tc>
      </w:tr>
      <w:tr w:rsidR="00674853" w14:paraId="7D161ADB" w14:textId="77777777" w:rsidTr="003B6E32">
        <w:trPr>
          <w:trHeight w:val="719"/>
        </w:trPr>
        <w:tc>
          <w:tcPr>
            <w:tcW w:w="2733" w:type="dxa"/>
            <w:gridSpan w:val="3"/>
            <w:vAlign w:val="center"/>
          </w:tcPr>
          <w:p w14:paraId="5DF8B762" w14:textId="77777777" w:rsidR="00674853" w:rsidRDefault="00674853" w:rsidP="00EA3183">
            <w:r>
              <w:t>Are any reporting systems suitable to all contractors?</w:t>
            </w:r>
          </w:p>
        </w:tc>
        <w:tc>
          <w:tcPr>
            <w:tcW w:w="6509" w:type="dxa"/>
            <w:tcBorders>
              <w:bottom w:val="single" w:sz="4" w:space="0" w:color="auto"/>
            </w:tcBorders>
            <w:shd w:val="clear" w:color="auto" w:fill="00B050"/>
          </w:tcPr>
          <w:p w14:paraId="7DE53563" w14:textId="77777777" w:rsidR="000D51A7" w:rsidRDefault="00B511A9" w:rsidP="005F25A9">
            <w:r>
              <w:t xml:space="preserve">PharmOutcomes </w:t>
            </w:r>
            <w:r w:rsidR="000D51A7">
              <w:t>requires internet access.</w:t>
            </w:r>
          </w:p>
          <w:p w14:paraId="29A0136E" w14:textId="3AAD6D5D" w:rsidR="00674853" w:rsidRDefault="000D51A7" w:rsidP="000E4655">
            <w:r>
              <w:t>U</w:t>
            </w:r>
            <w:r w:rsidR="00B511A9">
              <w:t>se essential to enter information</w:t>
            </w:r>
            <w:r w:rsidR="000E4655">
              <w:t>.</w:t>
            </w:r>
          </w:p>
        </w:tc>
      </w:tr>
      <w:tr w:rsidR="00674853" w14:paraId="0A0C87A0" w14:textId="77777777" w:rsidTr="00C00F2C">
        <w:trPr>
          <w:trHeight w:val="1475"/>
        </w:trPr>
        <w:tc>
          <w:tcPr>
            <w:tcW w:w="2733" w:type="dxa"/>
            <w:gridSpan w:val="3"/>
            <w:vAlign w:val="center"/>
          </w:tcPr>
          <w:p w14:paraId="541130BA" w14:textId="5D3E143E" w:rsidR="00674853" w:rsidRDefault="00674853" w:rsidP="00EA3183">
            <w:r>
              <w:t>Is the training required for the service reasonable? Consider accessibility to CPPE for non-pharmacist/technician staff.</w:t>
            </w:r>
          </w:p>
        </w:tc>
        <w:tc>
          <w:tcPr>
            <w:tcW w:w="6509" w:type="dxa"/>
            <w:shd w:val="clear" w:color="auto" w:fill="auto"/>
          </w:tcPr>
          <w:p w14:paraId="32874270" w14:textId="4B714433" w:rsidR="007E0F3C" w:rsidRPr="006F5D90" w:rsidRDefault="00C00F2C" w:rsidP="006F5D90">
            <w:pPr>
              <w:ind w:right="140"/>
              <w:rPr>
                <w:rFonts w:cs="Arial"/>
              </w:rPr>
            </w:pPr>
            <w:r>
              <w:rPr>
                <w:rFonts w:cs="Arial"/>
              </w:rPr>
              <w:t xml:space="preserve">N/A </w:t>
            </w:r>
          </w:p>
        </w:tc>
      </w:tr>
      <w:tr w:rsidR="00674853" w14:paraId="21CF59AB" w14:textId="77777777" w:rsidTr="000D51A7">
        <w:trPr>
          <w:trHeight w:val="1232"/>
        </w:trPr>
        <w:tc>
          <w:tcPr>
            <w:tcW w:w="2733" w:type="dxa"/>
            <w:gridSpan w:val="3"/>
            <w:vAlign w:val="center"/>
          </w:tcPr>
          <w:p w14:paraId="1DBBBCCD" w14:textId="7A3D3FD2" w:rsidR="00674853" w:rsidRDefault="00674853" w:rsidP="00EA3183">
            <w:r>
              <w:t>Does record keeping or sharing of information requirements meet current IG regulations.</w:t>
            </w:r>
          </w:p>
        </w:tc>
        <w:tc>
          <w:tcPr>
            <w:tcW w:w="6509" w:type="dxa"/>
            <w:shd w:val="clear" w:color="auto" w:fill="00B050"/>
          </w:tcPr>
          <w:p w14:paraId="250527A3" w14:textId="77777777" w:rsidR="000E4655" w:rsidRDefault="000E4655" w:rsidP="00643981">
            <w:r>
              <w:t>Yes</w:t>
            </w:r>
          </w:p>
          <w:p w14:paraId="769AF079" w14:textId="4BD76E1C" w:rsidR="000E4655" w:rsidRDefault="007E0F3C" w:rsidP="00643981">
            <w:r>
              <w:t xml:space="preserve">All records </w:t>
            </w:r>
            <w:r w:rsidR="000E4655">
              <w:t xml:space="preserve">are </w:t>
            </w:r>
            <w:r>
              <w:t>kept securely on PharmOutcomes.</w:t>
            </w:r>
          </w:p>
          <w:p w14:paraId="4646B660" w14:textId="7A7C17F5" w:rsidR="003B6B9A" w:rsidRDefault="003B6B9A" w:rsidP="00643981"/>
        </w:tc>
      </w:tr>
      <w:tr w:rsidR="00674853" w14:paraId="28C19656" w14:textId="77777777" w:rsidTr="00DD74A8">
        <w:trPr>
          <w:trHeight w:val="503"/>
        </w:trPr>
        <w:tc>
          <w:tcPr>
            <w:tcW w:w="250" w:type="dxa"/>
            <w:tcBorders>
              <w:right w:val="nil"/>
            </w:tcBorders>
            <w:vAlign w:val="center"/>
          </w:tcPr>
          <w:p w14:paraId="2AAFB1F7" w14:textId="51CE585A" w:rsidR="00674853" w:rsidRPr="00EA3183" w:rsidRDefault="00674853" w:rsidP="00EA3183">
            <w:pPr>
              <w:jc w:val="center"/>
              <w:rPr>
                <w:sz w:val="28"/>
                <w:szCs w:val="28"/>
              </w:rPr>
            </w:pPr>
          </w:p>
        </w:tc>
        <w:tc>
          <w:tcPr>
            <w:tcW w:w="8992" w:type="dxa"/>
            <w:gridSpan w:val="3"/>
            <w:tcBorders>
              <w:left w:val="nil"/>
            </w:tcBorders>
            <w:vAlign w:val="center"/>
          </w:tcPr>
          <w:p w14:paraId="314B1717" w14:textId="77777777" w:rsidR="00674853" w:rsidRPr="00EA3183" w:rsidRDefault="00674853" w:rsidP="00EA3183">
            <w:pPr>
              <w:jc w:val="center"/>
              <w:rPr>
                <w:b/>
                <w:sz w:val="28"/>
                <w:szCs w:val="28"/>
              </w:rPr>
            </w:pPr>
            <w:r w:rsidRPr="00EA3183">
              <w:rPr>
                <w:b/>
                <w:sz w:val="28"/>
                <w:szCs w:val="28"/>
              </w:rPr>
              <w:t>Miscellaneous Information</w:t>
            </w:r>
          </w:p>
        </w:tc>
      </w:tr>
      <w:tr w:rsidR="00674853" w14:paraId="06521961" w14:textId="77777777" w:rsidTr="008871EC">
        <w:trPr>
          <w:trHeight w:val="728"/>
        </w:trPr>
        <w:tc>
          <w:tcPr>
            <w:tcW w:w="2733" w:type="dxa"/>
            <w:gridSpan w:val="3"/>
            <w:vAlign w:val="center"/>
          </w:tcPr>
          <w:p w14:paraId="25B137F0" w14:textId="77777777" w:rsidR="00674853" w:rsidRDefault="00674853" w:rsidP="00EA3183">
            <w:r>
              <w:t>Any other information specific to this service.</w:t>
            </w:r>
          </w:p>
        </w:tc>
        <w:tc>
          <w:tcPr>
            <w:tcW w:w="6509" w:type="dxa"/>
            <w:tcBorders>
              <w:bottom w:val="single" w:sz="4" w:space="0" w:color="auto"/>
            </w:tcBorders>
            <w:shd w:val="clear" w:color="auto" w:fill="FF0000"/>
          </w:tcPr>
          <w:p w14:paraId="0387A859" w14:textId="1E30CD00" w:rsidR="00674853" w:rsidRDefault="008871EC" w:rsidP="008871EC">
            <w:r>
              <w:t>Still a problem for the high performing exemplar CPs that are maximising their 400 MURs before the year end. These are the most likely locations to actively participate in the service and hence the 400MUR cap will act as a ‘block’ to completion of the referral in the top service providing CP locations. This will be particularly prevalent during Q4 and lead to inconsistency &amp; variation in referral completion. The framework needs to be designed to allow for commissioning of these additional MURs when necessary to ensure the service thrives and does not dip in Q4.</w:t>
            </w:r>
          </w:p>
        </w:tc>
      </w:tr>
      <w:tr w:rsidR="00674853" w14:paraId="755419F6" w14:textId="77777777" w:rsidTr="003B6E32">
        <w:trPr>
          <w:trHeight w:val="494"/>
        </w:trPr>
        <w:tc>
          <w:tcPr>
            <w:tcW w:w="2733" w:type="dxa"/>
            <w:gridSpan w:val="3"/>
            <w:vAlign w:val="center"/>
          </w:tcPr>
          <w:p w14:paraId="39A3225C" w14:textId="0DBB6675" w:rsidR="00674853" w:rsidRDefault="00674853" w:rsidP="00E8310F">
            <w:r>
              <w:t>Suggested RAG Rating</w:t>
            </w:r>
          </w:p>
        </w:tc>
        <w:tc>
          <w:tcPr>
            <w:tcW w:w="6509" w:type="dxa"/>
            <w:shd w:val="clear" w:color="auto" w:fill="FFC000"/>
          </w:tcPr>
          <w:p w14:paraId="4269F11F" w14:textId="2231D21D" w:rsidR="00674853" w:rsidRDefault="00674853"/>
        </w:tc>
      </w:tr>
    </w:tbl>
    <w:p w14:paraId="3674DB31" w14:textId="77777777" w:rsidR="00835D38" w:rsidRDefault="00835D38"/>
    <w:sectPr w:rsidR="00835D38" w:rsidSect="00FA4B0F">
      <w:headerReference w:type="default" r:id="rId9"/>
      <w:pgSz w:w="11906" w:h="16838"/>
      <w:pgMar w:top="195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2F347" w14:textId="77777777" w:rsidR="00BF4B74" w:rsidRDefault="00BF4B74" w:rsidP="00976447">
      <w:pPr>
        <w:spacing w:after="0" w:line="240" w:lineRule="auto"/>
      </w:pPr>
      <w:r>
        <w:separator/>
      </w:r>
    </w:p>
  </w:endnote>
  <w:endnote w:type="continuationSeparator" w:id="0">
    <w:p w14:paraId="6D8700BE" w14:textId="77777777" w:rsidR="00BF4B74" w:rsidRDefault="00BF4B74"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72CBD" w14:textId="77777777" w:rsidR="00BF4B74" w:rsidRDefault="00BF4B74" w:rsidP="00976447">
      <w:pPr>
        <w:spacing w:after="0" w:line="240" w:lineRule="auto"/>
      </w:pPr>
      <w:r>
        <w:separator/>
      </w:r>
    </w:p>
  </w:footnote>
  <w:footnote w:type="continuationSeparator" w:id="0">
    <w:p w14:paraId="00BEB1C0" w14:textId="77777777" w:rsidR="00BF4B74" w:rsidRDefault="00BF4B74"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77777777" w:rsidR="00976447" w:rsidRDefault="0097644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Hants &amp; IOW LPC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50B13"/>
    <w:multiLevelType w:val="hybridMultilevel"/>
    <w:tmpl w:val="18862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4A65BF"/>
    <w:multiLevelType w:val="hybridMultilevel"/>
    <w:tmpl w:val="2A9CF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001C5"/>
    <w:rsid w:val="00007BB6"/>
    <w:rsid w:val="000A34AA"/>
    <w:rsid w:val="000D51A7"/>
    <w:rsid w:val="000D6178"/>
    <w:rsid w:val="000E4655"/>
    <w:rsid w:val="000E7BBC"/>
    <w:rsid w:val="001150A1"/>
    <w:rsid w:val="001535B4"/>
    <w:rsid w:val="001957E5"/>
    <w:rsid w:val="001E3075"/>
    <w:rsid w:val="00244002"/>
    <w:rsid w:val="002A4146"/>
    <w:rsid w:val="002A4468"/>
    <w:rsid w:val="002C6D7D"/>
    <w:rsid w:val="002D2C8E"/>
    <w:rsid w:val="00316815"/>
    <w:rsid w:val="00365C6F"/>
    <w:rsid w:val="00370AF2"/>
    <w:rsid w:val="003B6B9A"/>
    <w:rsid w:val="003B6E32"/>
    <w:rsid w:val="0041049D"/>
    <w:rsid w:val="00433360"/>
    <w:rsid w:val="00444626"/>
    <w:rsid w:val="00460CB9"/>
    <w:rsid w:val="004A4DA0"/>
    <w:rsid w:val="004A5577"/>
    <w:rsid w:val="004B0D0D"/>
    <w:rsid w:val="00523409"/>
    <w:rsid w:val="0053198F"/>
    <w:rsid w:val="005622DD"/>
    <w:rsid w:val="005859B7"/>
    <w:rsid w:val="00593BF0"/>
    <w:rsid w:val="005A1E13"/>
    <w:rsid w:val="005F25A9"/>
    <w:rsid w:val="006176BE"/>
    <w:rsid w:val="00636170"/>
    <w:rsid w:val="00641576"/>
    <w:rsid w:val="00643981"/>
    <w:rsid w:val="00674853"/>
    <w:rsid w:val="0069404F"/>
    <w:rsid w:val="00697410"/>
    <w:rsid w:val="006A34A4"/>
    <w:rsid w:val="006A4876"/>
    <w:rsid w:val="006B2BB8"/>
    <w:rsid w:val="006F5D90"/>
    <w:rsid w:val="00706616"/>
    <w:rsid w:val="00771CB7"/>
    <w:rsid w:val="00790752"/>
    <w:rsid w:val="007E0BB9"/>
    <w:rsid w:val="007E0F3C"/>
    <w:rsid w:val="007F001C"/>
    <w:rsid w:val="00835D38"/>
    <w:rsid w:val="00862910"/>
    <w:rsid w:val="008871EC"/>
    <w:rsid w:val="008A3C57"/>
    <w:rsid w:val="008C02EB"/>
    <w:rsid w:val="00935A10"/>
    <w:rsid w:val="00976447"/>
    <w:rsid w:val="00990F69"/>
    <w:rsid w:val="00996E1D"/>
    <w:rsid w:val="009A4336"/>
    <w:rsid w:val="00A0378A"/>
    <w:rsid w:val="00A40B5B"/>
    <w:rsid w:val="00A46B9D"/>
    <w:rsid w:val="00A60403"/>
    <w:rsid w:val="00A70906"/>
    <w:rsid w:val="00A81782"/>
    <w:rsid w:val="00A8629B"/>
    <w:rsid w:val="00AA51F1"/>
    <w:rsid w:val="00AC2ACA"/>
    <w:rsid w:val="00AC31A4"/>
    <w:rsid w:val="00AF2E5C"/>
    <w:rsid w:val="00B2108E"/>
    <w:rsid w:val="00B27B12"/>
    <w:rsid w:val="00B3219E"/>
    <w:rsid w:val="00B511A9"/>
    <w:rsid w:val="00B67292"/>
    <w:rsid w:val="00BA4F08"/>
    <w:rsid w:val="00BE2D57"/>
    <w:rsid w:val="00BF4B74"/>
    <w:rsid w:val="00C00F2C"/>
    <w:rsid w:val="00C04DD1"/>
    <w:rsid w:val="00C8050F"/>
    <w:rsid w:val="00CE5827"/>
    <w:rsid w:val="00CF09FC"/>
    <w:rsid w:val="00CF2596"/>
    <w:rsid w:val="00D01E8F"/>
    <w:rsid w:val="00DA6A3F"/>
    <w:rsid w:val="00DB5CAC"/>
    <w:rsid w:val="00DC1A7D"/>
    <w:rsid w:val="00DD74A8"/>
    <w:rsid w:val="00DE6C57"/>
    <w:rsid w:val="00E12F94"/>
    <w:rsid w:val="00E16073"/>
    <w:rsid w:val="00E220A4"/>
    <w:rsid w:val="00E3434A"/>
    <w:rsid w:val="00E46D93"/>
    <w:rsid w:val="00E47236"/>
    <w:rsid w:val="00E5055F"/>
    <w:rsid w:val="00E8310F"/>
    <w:rsid w:val="00EA3183"/>
    <w:rsid w:val="00EA42B3"/>
    <w:rsid w:val="00F02A57"/>
    <w:rsid w:val="00F316C4"/>
    <w:rsid w:val="00F36A8C"/>
    <w:rsid w:val="00F46C00"/>
    <w:rsid w:val="00F91BB1"/>
    <w:rsid w:val="00FA4B0F"/>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semiHidden/>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basedOn w:val="Normal"/>
    <w:uiPriority w:val="34"/>
    <w:qFormat/>
    <w:rsid w:val="00EA4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buxton@hampshirelp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0D5DBC"/>
    <w:rsid w:val="001518A5"/>
    <w:rsid w:val="001A0DAE"/>
    <w:rsid w:val="0022656D"/>
    <w:rsid w:val="0033463E"/>
    <w:rsid w:val="0037538B"/>
    <w:rsid w:val="004765D8"/>
    <w:rsid w:val="005068BA"/>
    <w:rsid w:val="005654D8"/>
    <w:rsid w:val="005E3A16"/>
    <w:rsid w:val="00611F4C"/>
    <w:rsid w:val="00662075"/>
    <w:rsid w:val="006903CA"/>
    <w:rsid w:val="006C29D5"/>
    <w:rsid w:val="00814374"/>
    <w:rsid w:val="00920ADB"/>
    <w:rsid w:val="009A032E"/>
    <w:rsid w:val="009C08D5"/>
    <w:rsid w:val="009E1F69"/>
    <w:rsid w:val="00A9210F"/>
    <w:rsid w:val="00BC3381"/>
    <w:rsid w:val="00BE79E2"/>
    <w:rsid w:val="00E7365B"/>
    <w:rsid w:val="00F22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7DA6A0-ABF5-4335-BE34-3265F33D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Hants &amp; IOW LPC Service Specification Checklist</vt:lpstr>
    </vt:vector>
  </TitlesOfParts>
  <Company>Rowlands Pharmacy</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Hants &amp; IOW LPC Service Specification Checklist</dc:title>
  <dc:subject/>
  <dc:creator>Retail IT</dc:creator>
  <cp:keywords/>
  <dc:description/>
  <cp:lastModifiedBy>alison freemantle</cp:lastModifiedBy>
  <cp:revision>2</cp:revision>
  <dcterms:created xsi:type="dcterms:W3CDTF">2019-10-25T08:51:00Z</dcterms:created>
  <dcterms:modified xsi:type="dcterms:W3CDTF">2019-10-25T08:51:00Z</dcterms:modified>
</cp:coreProperties>
</file>