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250"/>
        <w:gridCol w:w="151"/>
        <w:gridCol w:w="2332"/>
        <w:gridCol w:w="6283"/>
      </w:tblGrid>
      <w:tr w:rsidR="00AC2ACA" w:rsidRPr="00460CB9" w14:paraId="55FABCAC" w14:textId="77777777" w:rsidTr="001535B4">
        <w:trPr>
          <w:trHeight w:val="557"/>
        </w:trPr>
        <w:tc>
          <w:tcPr>
            <w:tcW w:w="9242" w:type="dxa"/>
            <w:gridSpan w:val="4"/>
            <w:shd w:val="clear" w:color="auto" w:fill="auto"/>
            <w:vAlign w:val="center"/>
          </w:tcPr>
          <w:p w14:paraId="5307314A" w14:textId="77777777" w:rsidR="00AC2ACA" w:rsidRPr="0053198F" w:rsidRDefault="00AC2ACA" w:rsidP="001535B4">
            <w:pPr>
              <w:jc w:val="center"/>
              <w:rPr>
                <w:sz w:val="28"/>
                <w:szCs w:val="28"/>
              </w:rPr>
            </w:pPr>
            <w:r>
              <w:rPr>
                <w:b/>
                <w:sz w:val="28"/>
                <w:szCs w:val="28"/>
              </w:rPr>
              <w:t>Rationale of Checklist</w:t>
            </w:r>
          </w:p>
        </w:tc>
      </w:tr>
      <w:tr w:rsidR="00AC2ACA" w:rsidRPr="00460CB9" w14:paraId="17F24DA9" w14:textId="77777777" w:rsidTr="00E46D93">
        <w:trPr>
          <w:trHeight w:val="3050"/>
        </w:trPr>
        <w:tc>
          <w:tcPr>
            <w:tcW w:w="9242" w:type="dxa"/>
            <w:gridSpan w:val="4"/>
            <w:shd w:val="clear" w:color="auto" w:fill="auto"/>
            <w:vAlign w:val="center"/>
          </w:tcPr>
          <w:p w14:paraId="5906461D" w14:textId="1A37EE5F" w:rsidR="00AC2ACA" w:rsidRDefault="00D01E8F" w:rsidP="00B3219E">
            <w:pPr>
              <w:rPr>
                <w:szCs w:val="28"/>
              </w:rPr>
            </w:pPr>
            <w:r>
              <w:rPr>
                <w:szCs w:val="28"/>
              </w:rPr>
              <w:t>This checklist will be completed by the LPC sub-committee for e</w:t>
            </w:r>
            <w:r w:rsidR="001535B4">
              <w:rPr>
                <w:szCs w:val="28"/>
              </w:rPr>
              <w:t>very</w:t>
            </w:r>
            <w:r w:rsidR="00CF09FC">
              <w:rPr>
                <w:szCs w:val="28"/>
              </w:rPr>
              <w:t xml:space="preserve"> </w:t>
            </w:r>
            <w:r>
              <w:rPr>
                <w:szCs w:val="28"/>
              </w:rPr>
              <w:t xml:space="preserve">new or recommissioned </w:t>
            </w:r>
            <w:r w:rsidR="00CF09FC">
              <w:rPr>
                <w:szCs w:val="28"/>
              </w:rPr>
              <w:t xml:space="preserve">service specification </w:t>
            </w:r>
            <w:r w:rsidR="001535B4">
              <w:rPr>
                <w:szCs w:val="28"/>
              </w:rPr>
              <w:t>sent to t</w:t>
            </w:r>
            <w:r>
              <w:rPr>
                <w:szCs w:val="28"/>
              </w:rPr>
              <w:t>he LPC for comment/consultation</w:t>
            </w:r>
            <w:r w:rsidR="001535B4">
              <w:rPr>
                <w:szCs w:val="28"/>
              </w:rPr>
              <w:t xml:space="preserve">. </w:t>
            </w:r>
            <w:r w:rsidR="00CF09FC">
              <w:rPr>
                <w:szCs w:val="28"/>
              </w:rPr>
              <w:t xml:space="preserve"> </w:t>
            </w:r>
            <w:r>
              <w:rPr>
                <w:szCs w:val="28"/>
              </w:rPr>
              <w:t>The response summary is completed after consultation and agreement by the sub-committee.</w:t>
            </w:r>
          </w:p>
          <w:p w14:paraId="7FD881D0" w14:textId="77777777" w:rsidR="001535B4" w:rsidRPr="001535B4" w:rsidRDefault="001535B4" w:rsidP="00B3219E">
            <w:pPr>
              <w:rPr>
                <w:sz w:val="10"/>
                <w:szCs w:val="28"/>
              </w:rPr>
            </w:pPr>
          </w:p>
          <w:p w14:paraId="0A6D498E" w14:textId="74F063CA" w:rsidR="00CF09FC" w:rsidRDefault="00CF09FC" w:rsidP="00B3219E">
            <w:pPr>
              <w:rPr>
                <w:szCs w:val="28"/>
              </w:rPr>
            </w:pPr>
            <w:r>
              <w:rPr>
                <w:szCs w:val="28"/>
              </w:rPr>
              <w:t xml:space="preserve">The Checklist contains </w:t>
            </w:r>
            <w:r w:rsidR="00D01E8F">
              <w:rPr>
                <w:szCs w:val="28"/>
              </w:rPr>
              <w:t xml:space="preserve">the LPC sub-committee’s </w:t>
            </w:r>
            <w:r>
              <w:rPr>
                <w:szCs w:val="28"/>
              </w:rPr>
              <w:t xml:space="preserve">comments/recommendations for </w:t>
            </w:r>
            <w:r w:rsidR="00D01E8F">
              <w:rPr>
                <w:szCs w:val="28"/>
              </w:rPr>
              <w:t xml:space="preserve">any requested </w:t>
            </w:r>
            <w:r>
              <w:rPr>
                <w:szCs w:val="28"/>
              </w:rPr>
              <w:t>changes to the proposed/draft service specification</w:t>
            </w:r>
            <w:r w:rsidR="001535B4">
              <w:rPr>
                <w:szCs w:val="28"/>
              </w:rPr>
              <w:t xml:space="preserve"> in order to achieve</w:t>
            </w:r>
            <w:r w:rsidR="00D01E8F">
              <w:rPr>
                <w:szCs w:val="28"/>
              </w:rPr>
              <w:t xml:space="preserve"> / improve further the</w:t>
            </w:r>
            <w:r w:rsidR="001535B4">
              <w:rPr>
                <w:szCs w:val="28"/>
              </w:rPr>
              <w:t xml:space="preserve"> green rating. </w:t>
            </w:r>
            <w:r>
              <w:rPr>
                <w:szCs w:val="28"/>
              </w:rPr>
              <w:t xml:space="preserve"> </w:t>
            </w:r>
            <w:r w:rsidR="001535B4">
              <w:rPr>
                <w:szCs w:val="28"/>
              </w:rPr>
              <w:t>It</w:t>
            </w:r>
            <w:r>
              <w:rPr>
                <w:szCs w:val="28"/>
              </w:rPr>
              <w:t xml:space="preserve"> will be </w:t>
            </w:r>
            <w:r w:rsidR="001535B4">
              <w:rPr>
                <w:szCs w:val="28"/>
              </w:rPr>
              <w:t>sent</w:t>
            </w:r>
            <w:r>
              <w:rPr>
                <w:szCs w:val="28"/>
              </w:rPr>
              <w:t xml:space="preserve"> to the </w:t>
            </w:r>
            <w:r w:rsidR="001535B4">
              <w:rPr>
                <w:szCs w:val="28"/>
              </w:rPr>
              <w:t>service c</w:t>
            </w:r>
            <w:r>
              <w:rPr>
                <w:szCs w:val="28"/>
              </w:rPr>
              <w:t xml:space="preserve">ommissioner for consideration of amendments </w:t>
            </w:r>
            <w:r w:rsidR="001535B4">
              <w:rPr>
                <w:szCs w:val="28"/>
              </w:rPr>
              <w:t xml:space="preserve">ideally </w:t>
            </w:r>
            <w:r>
              <w:rPr>
                <w:szCs w:val="28"/>
              </w:rPr>
              <w:t>prior</w:t>
            </w:r>
            <w:r w:rsidR="001535B4">
              <w:rPr>
                <w:szCs w:val="28"/>
              </w:rPr>
              <w:t xml:space="preserve"> to go-live of the service.</w:t>
            </w:r>
          </w:p>
          <w:p w14:paraId="2FF905B2" w14:textId="77777777" w:rsidR="001535B4" w:rsidRPr="001535B4" w:rsidRDefault="001535B4" w:rsidP="00B3219E">
            <w:pPr>
              <w:rPr>
                <w:sz w:val="10"/>
                <w:szCs w:val="10"/>
              </w:rPr>
            </w:pPr>
          </w:p>
          <w:p w14:paraId="0F24F5B1" w14:textId="4531220F" w:rsidR="001535B4" w:rsidRPr="00CF09FC" w:rsidRDefault="001535B4" w:rsidP="00B3219E">
            <w:pPr>
              <w:rPr>
                <w:szCs w:val="28"/>
              </w:rPr>
            </w:pPr>
            <w:r>
              <w:rPr>
                <w:szCs w:val="28"/>
              </w:rPr>
              <w:t>The LPC’s purpose is to work positively with commissioners to ensure high quality outcomes from the service</w:t>
            </w:r>
            <w:r w:rsidR="00D01E8F">
              <w:rPr>
                <w:szCs w:val="28"/>
              </w:rPr>
              <w:t>,</w:t>
            </w:r>
            <w:r>
              <w:rPr>
                <w:szCs w:val="28"/>
              </w:rPr>
              <w:t xml:space="preserve"> which are both professionally and commercially viable for contractor participation.</w:t>
            </w:r>
          </w:p>
        </w:tc>
      </w:tr>
      <w:tr w:rsidR="00E12F94" w:rsidRPr="00460CB9" w14:paraId="4332DA91" w14:textId="77777777" w:rsidTr="00E00976">
        <w:trPr>
          <w:trHeight w:val="575"/>
        </w:trPr>
        <w:tc>
          <w:tcPr>
            <w:tcW w:w="9242" w:type="dxa"/>
            <w:gridSpan w:val="4"/>
            <w:tcBorders>
              <w:bottom w:val="single" w:sz="4" w:space="0" w:color="auto"/>
            </w:tcBorders>
            <w:shd w:val="clear" w:color="auto" w:fill="auto"/>
            <w:vAlign w:val="center"/>
          </w:tcPr>
          <w:p w14:paraId="459A1560" w14:textId="16AD6269" w:rsidR="00E12F94" w:rsidRDefault="00E12F94" w:rsidP="001535B4">
            <w:pPr>
              <w:jc w:val="center"/>
              <w:rPr>
                <w:b/>
                <w:sz w:val="28"/>
                <w:szCs w:val="28"/>
              </w:rPr>
            </w:pPr>
            <w:r>
              <w:rPr>
                <w:b/>
                <w:sz w:val="28"/>
                <w:szCs w:val="28"/>
              </w:rPr>
              <w:t>Response summary feedback from the LPC</w:t>
            </w:r>
          </w:p>
        </w:tc>
      </w:tr>
      <w:tr w:rsidR="00E8310F" w:rsidRPr="00460CB9" w14:paraId="2F71DB59" w14:textId="77777777" w:rsidTr="00E00976">
        <w:trPr>
          <w:trHeight w:val="575"/>
        </w:trPr>
        <w:tc>
          <w:tcPr>
            <w:tcW w:w="9242" w:type="dxa"/>
            <w:gridSpan w:val="4"/>
            <w:shd w:val="clear" w:color="auto" w:fill="FFC000"/>
            <w:vAlign w:val="center"/>
          </w:tcPr>
          <w:p w14:paraId="5A70AB8B" w14:textId="7BF5D960" w:rsidR="00E8310F" w:rsidRDefault="000321D1" w:rsidP="001535B4">
            <w:pPr>
              <w:jc w:val="center"/>
              <w:rPr>
                <w:b/>
                <w:sz w:val="28"/>
                <w:szCs w:val="28"/>
              </w:rPr>
            </w:pPr>
            <w:r>
              <w:rPr>
                <w:b/>
                <w:sz w:val="28"/>
                <w:szCs w:val="28"/>
              </w:rPr>
              <w:t>Smoking Cessation</w:t>
            </w:r>
            <w:r w:rsidR="008317E9">
              <w:rPr>
                <w:b/>
                <w:sz w:val="28"/>
                <w:szCs w:val="28"/>
              </w:rPr>
              <w:t xml:space="preserve"> </w:t>
            </w:r>
            <w:r w:rsidR="00DB49B7">
              <w:rPr>
                <w:b/>
                <w:sz w:val="28"/>
                <w:szCs w:val="28"/>
              </w:rPr>
              <w:t>service</w:t>
            </w:r>
            <w:r w:rsidR="005859B7">
              <w:rPr>
                <w:b/>
                <w:sz w:val="28"/>
                <w:szCs w:val="28"/>
              </w:rPr>
              <w:t xml:space="preserve">, </w:t>
            </w:r>
            <w:r w:rsidR="00DB49B7">
              <w:rPr>
                <w:b/>
                <w:sz w:val="28"/>
                <w:szCs w:val="28"/>
              </w:rPr>
              <w:t>Quit4Life</w:t>
            </w:r>
          </w:p>
        </w:tc>
      </w:tr>
      <w:tr w:rsidR="00E12F94" w:rsidRPr="00460CB9" w14:paraId="0D705D27" w14:textId="77777777" w:rsidTr="00E8310F">
        <w:trPr>
          <w:trHeight w:val="1979"/>
        </w:trPr>
        <w:tc>
          <w:tcPr>
            <w:tcW w:w="9242" w:type="dxa"/>
            <w:gridSpan w:val="4"/>
            <w:shd w:val="clear" w:color="auto" w:fill="auto"/>
            <w:vAlign w:val="center"/>
          </w:tcPr>
          <w:p w14:paraId="258B6E94" w14:textId="006EFB9A" w:rsidR="00FE6523" w:rsidRDefault="00FE6523" w:rsidP="00B3219E">
            <w:pPr>
              <w:rPr>
                <w:szCs w:val="28"/>
              </w:rPr>
            </w:pPr>
            <w:r>
              <w:rPr>
                <w:szCs w:val="28"/>
              </w:rPr>
              <w:t>The LPC has rated this service sp</w:t>
            </w:r>
            <w:r w:rsidR="006D027E">
              <w:rPr>
                <w:szCs w:val="28"/>
              </w:rPr>
              <w:t xml:space="preserve">ecification as </w:t>
            </w:r>
            <w:r w:rsidR="00E00976">
              <w:rPr>
                <w:szCs w:val="28"/>
              </w:rPr>
              <w:t>Amber</w:t>
            </w:r>
            <w:r w:rsidR="00EA42B3">
              <w:rPr>
                <w:szCs w:val="28"/>
              </w:rPr>
              <w:t xml:space="preserve"> based on the </w:t>
            </w:r>
            <w:r>
              <w:rPr>
                <w:szCs w:val="28"/>
              </w:rPr>
              <w:t xml:space="preserve">comments made below. </w:t>
            </w:r>
            <w:r w:rsidR="00E220A4">
              <w:rPr>
                <w:szCs w:val="28"/>
              </w:rPr>
              <w:t>Our recommended a</w:t>
            </w:r>
            <w:r>
              <w:rPr>
                <w:szCs w:val="28"/>
              </w:rPr>
              <w:t xml:space="preserve">ctions </w:t>
            </w:r>
            <w:r w:rsidR="00E220A4">
              <w:rPr>
                <w:szCs w:val="28"/>
              </w:rPr>
              <w:t>to further improve the service</w:t>
            </w:r>
            <w:r>
              <w:rPr>
                <w:szCs w:val="28"/>
              </w:rPr>
              <w:t xml:space="preserve"> are:</w:t>
            </w:r>
          </w:p>
          <w:p w14:paraId="75A72588" w14:textId="4F0AE799" w:rsidR="00665D17" w:rsidRDefault="00182655" w:rsidP="00EA42B3">
            <w:pPr>
              <w:pStyle w:val="ListParagraph"/>
              <w:numPr>
                <w:ilvl w:val="0"/>
                <w:numId w:val="2"/>
              </w:numPr>
              <w:rPr>
                <w:szCs w:val="28"/>
              </w:rPr>
            </w:pPr>
            <w:r>
              <w:rPr>
                <w:szCs w:val="28"/>
              </w:rPr>
              <w:t xml:space="preserve">Training onus on new and existing advisors has increased in terms of frequency of </w:t>
            </w:r>
            <w:r w:rsidR="00863E4F">
              <w:rPr>
                <w:szCs w:val="28"/>
              </w:rPr>
              <w:t xml:space="preserve">compulsory </w:t>
            </w:r>
            <w:r>
              <w:rPr>
                <w:szCs w:val="28"/>
              </w:rPr>
              <w:t xml:space="preserve">update training and shadowing </w:t>
            </w:r>
            <w:r w:rsidR="00863E4F">
              <w:rPr>
                <w:szCs w:val="28"/>
              </w:rPr>
              <w:t xml:space="preserve">requirements for new advisors. Failure to attend </w:t>
            </w:r>
            <w:r>
              <w:rPr>
                <w:szCs w:val="28"/>
              </w:rPr>
              <w:t>can result in termination of contract if not achieved. There is no remuneration backfill for this time which makes the service a very high demand on staff resource</w:t>
            </w:r>
            <w:r w:rsidR="00863E4F">
              <w:rPr>
                <w:szCs w:val="28"/>
              </w:rPr>
              <w:t xml:space="preserve"> and less attractive for providers to participate</w:t>
            </w:r>
            <w:r>
              <w:rPr>
                <w:szCs w:val="28"/>
              </w:rPr>
              <w:t>.</w:t>
            </w:r>
            <w:r w:rsidR="00B95547">
              <w:rPr>
                <w:szCs w:val="28"/>
              </w:rPr>
              <w:t xml:space="preserve"> A share of these </w:t>
            </w:r>
            <w:r w:rsidR="007F2BD2">
              <w:rPr>
                <w:szCs w:val="28"/>
              </w:rPr>
              <w:t xml:space="preserve">staff </w:t>
            </w:r>
            <w:r w:rsidR="00B95547">
              <w:rPr>
                <w:szCs w:val="28"/>
              </w:rPr>
              <w:t>costs by provision of backfill payments for attending would be welcomed by contractors.</w:t>
            </w:r>
          </w:p>
          <w:p w14:paraId="352919CC" w14:textId="42910478" w:rsidR="00347EEF" w:rsidRPr="007D2157" w:rsidRDefault="008D65DE" w:rsidP="000321D1">
            <w:pPr>
              <w:pStyle w:val="ListParagraph"/>
              <w:numPr>
                <w:ilvl w:val="0"/>
                <w:numId w:val="2"/>
              </w:numPr>
              <w:rPr>
                <w:strike/>
                <w:szCs w:val="28"/>
              </w:rPr>
            </w:pPr>
            <w:r w:rsidRPr="007D2157">
              <w:rPr>
                <w:strike/>
                <w:szCs w:val="28"/>
              </w:rPr>
              <w:t xml:space="preserve">Change from service ‘may’ to ‘will’ be terminated for non-achievement of performance improvements in the following quarter following a sub 40% quit rate in a pharmacy. There may be exceptional circumstances (new advisor), so suggest change to within 6 </w:t>
            </w:r>
            <w:r w:rsidR="00D3035E" w:rsidRPr="007D2157">
              <w:rPr>
                <w:strike/>
                <w:szCs w:val="28"/>
              </w:rPr>
              <w:t>months’</w:t>
            </w:r>
            <w:r w:rsidRPr="007D2157">
              <w:rPr>
                <w:strike/>
                <w:szCs w:val="28"/>
              </w:rPr>
              <w:t xml:space="preserve"> inclusion to cover this.</w:t>
            </w:r>
          </w:p>
          <w:p w14:paraId="41828323" w14:textId="77777777" w:rsidR="008D65DE" w:rsidRPr="007D2157" w:rsidRDefault="008D65DE" w:rsidP="000321D1">
            <w:pPr>
              <w:pStyle w:val="ListParagraph"/>
              <w:numPr>
                <w:ilvl w:val="0"/>
                <w:numId w:val="2"/>
              </w:numPr>
              <w:rPr>
                <w:strike/>
                <w:szCs w:val="28"/>
              </w:rPr>
            </w:pPr>
            <w:r w:rsidRPr="007D2157">
              <w:rPr>
                <w:strike/>
                <w:szCs w:val="28"/>
              </w:rPr>
              <w:t>Please clarify how much the quit success rate should improve by the following quarter. Is it by a minimum 5%, to above 40%, or to the recommended minimum of 50%?</w:t>
            </w:r>
          </w:p>
          <w:p w14:paraId="13AE92C6" w14:textId="77777777" w:rsidR="00D3035E" w:rsidRPr="007D2157" w:rsidRDefault="00D3035E" w:rsidP="000321D1">
            <w:pPr>
              <w:pStyle w:val="ListParagraph"/>
              <w:numPr>
                <w:ilvl w:val="0"/>
                <w:numId w:val="2"/>
              </w:numPr>
              <w:rPr>
                <w:strike/>
                <w:szCs w:val="28"/>
              </w:rPr>
            </w:pPr>
            <w:r w:rsidRPr="007D2157">
              <w:rPr>
                <w:strike/>
                <w:szCs w:val="28"/>
              </w:rPr>
              <w:t>The minimum of 4 quit dates set per month introduced does not take into account the high chance of patients not being eligible for the service within a pharmacy environment on the grounds that they are exempt due to:</w:t>
            </w:r>
          </w:p>
          <w:p w14:paraId="0A9AC1CA" w14:textId="73EEFD90" w:rsidR="00D3035E" w:rsidRPr="007D2157" w:rsidRDefault="00D3035E" w:rsidP="00D3035E">
            <w:pPr>
              <w:pStyle w:val="ListParagraph"/>
              <w:numPr>
                <w:ilvl w:val="1"/>
                <w:numId w:val="2"/>
              </w:numPr>
              <w:rPr>
                <w:strike/>
                <w:szCs w:val="28"/>
              </w:rPr>
            </w:pPr>
            <w:r w:rsidRPr="007D2157">
              <w:rPr>
                <w:strike/>
                <w:szCs w:val="28"/>
              </w:rPr>
              <w:t>Having 2 or more medical LTCs</w:t>
            </w:r>
          </w:p>
          <w:p w14:paraId="328265D7" w14:textId="77777777" w:rsidR="00D3035E" w:rsidRPr="007D2157" w:rsidRDefault="00D3035E" w:rsidP="00D3035E">
            <w:pPr>
              <w:pStyle w:val="ListParagraph"/>
              <w:numPr>
                <w:ilvl w:val="1"/>
                <w:numId w:val="2"/>
              </w:numPr>
              <w:rPr>
                <w:strike/>
                <w:szCs w:val="28"/>
              </w:rPr>
            </w:pPr>
            <w:r w:rsidRPr="007D2157">
              <w:rPr>
                <w:strike/>
                <w:szCs w:val="28"/>
              </w:rPr>
              <w:t>Having a SMI</w:t>
            </w:r>
          </w:p>
          <w:p w14:paraId="6F87B7EF" w14:textId="77777777" w:rsidR="00D3035E" w:rsidRPr="007D2157" w:rsidRDefault="00D3035E" w:rsidP="00D3035E">
            <w:pPr>
              <w:pStyle w:val="ListParagraph"/>
              <w:numPr>
                <w:ilvl w:val="1"/>
                <w:numId w:val="2"/>
              </w:numPr>
              <w:rPr>
                <w:strike/>
                <w:szCs w:val="28"/>
              </w:rPr>
            </w:pPr>
            <w:r w:rsidRPr="007D2157">
              <w:rPr>
                <w:strike/>
                <w:szCs w:val="28"/>
              </w:rPr>
              <w:t>Being pregnant</w:t>
            </w:r>
          </w:p>
          <w:p w14:paraId="2566CBD2" w14:textId="77777777" w:rsidR="00D3035E" w:rsidRPr="007D2157" w:rsidRDefault="00D3035E" w:rsidP="00D3035E">
            <w:pPr>
              <w:ind w:left="360"/>
              <w:rPr>
                <w:strike/>
                <w:szCs w:val="28"/>
              </w:rPr>
            </w:pPr>
            <w:r w:rsidRPr="007D2157">
              <w:rPr>
                <w:strike/>
                <w:szCs w:val="28"/>
              </w:rPr>
              <w:t xml:space="preserve">       It would be preferable if these referrals were also able to be counted within this minimum</w:t>
            </w:r>
          </w:p>
          <w:p w14:paraId="35E58B01" w14:textId="77777777" w:rsidR="00D3035E" w:rsidRPr="007D2157" w:rsidRDefault="00D3035E" w:rsidP="00D3035E">
            <w:pPr>
              <w:ind w:left="360"/>
              <w:rPr>
                <w:strike/>
                <w:szCs w:val="28"/>
              </w:rPr>
            </w:pPr>
            <w:r w:rsidRPr="007D2157">
              <w:rPr>
                <w:strike/>
                <w:szCs w:val="28"/>
              </w:rPr>
              <w:t xml:space="preserve">       criteria to avoid unnecessary risk of termination of service in pharmacies with high </w:t>
            </w:r>
          </w:p>
          <w:p w14:paraId="0A836948" w14:textId="66656EC7" w:rsidR="00D3035E" w:rsidRPr="007D2157" w:rsidRDefault="00D3035E" w:rsidP="00863E4F">
            <w:pPr>
              <w:ind w:left="360"/>
              <w:rPr>
                <w:strike/>
                <w:szCs w:val="28"/>
              </w:rPr>
            </w:pPr>
            <w:r w:rsidRPr="007D2157">
              <w:rPr>
                <w:strike/>
                <w:szCs w:val="28"/>
              </w:rPr>
              <w:t xml:space="preserve">       prevalence of the exemption categories mentioned.</w:t>
            </w:r>
          </w:p>
          <w:p w14:paraId="10F7CC96" w14:textId="74DB1481" w:rsidR="00D3035E" w:rsidRPr="00EA42B3" w:rsidRDefault="00D3035E" w:rsidP="00D3035E">
            <w:pPr>
              <w:pStyle w:val="ListParagraph"/>
              <w:rPr>
                <w:szCs w:val="28"/>
              </w:rPr>
            </w:pPr>
          </w:p>
        </w:tc>
        <w:bookmarkStart w:id="0" w:name="_GoBack"/>
        <w:bookmarkEnd w:id="0"/>
      </w:tr>
      <w:tr w:rsidR="00AC2ACA" w:rsidRPr="00460CB9" w14:paraId="180C9C9B" w14:textId="77777777" w:rsidTr="001535B4">
        <w:trPr>
          <w:trHeight w:val="548"/>
        </w:trPr>
        <w:tc>
          <w:tcPr>
            <w:tcW w:w="9242" w:type="dxa"/>
            <w:gridSpan w:val="4"/>
            <w:shd w:val="clear" w:color="auto" w:fill="auto"/>
            <w:vAlign w:val="center"/>
          </w:tcPr>
          <w:p w14:paraId="2AB25FA9" w14:textId="77777777" w:rsidR="00AC2ACA" w:rsidRDefault="00AC2ACA" w:rsidP="001535B4">
            <w:pPr>
              <w:jc w:val="center"/>
              <w:rPr>
                <w:b/>
                <w:sz w:val="28"/>
                <w:szCs w:val="28"/>
              </w:rPr>
            </w:pPr>
            <w:r>
              <w:rPr>
                <w:b/>
                <w:sz w:val="28"/>
                <w:szCs w:val="28"/>
              </w:rPr>
              <w:t>Time-line &amp; Next Steps for the LPC</w:t>
            </w:r>
          </w:p>
        </w:tc>
      </w:tr>
      <w:tr w:rsidR="00E12F94" w:rsidRPr="00460CB9" w14:paraId="697577A5" w14:textId="77777777" w:rsidTr="00E46D93">
        <w:trPr>
          <w:trHeight w:val="1412"/>
        </w:trPr>
        <w:tc>
          <w:tcPr>
            <w:tcW w:w="9242" w:type="dxa"/>
            <w:gridSpan w:val="4"/>
            <w:shd w:val="clear" w:color="auto" w:fill="auto"/>
            <w:vAlign w:val="center"/>
          </w:tcPr>
          <w:p w14:paraId="2F9356F0" w14:textId="240BD9DB" w:rsidR="00CF09FC" w:rsidRDefault="00CF09FC" w:rsidP="00B3219E">
            <w:r>
              <w:t>The LPC will publish this</w:t>
            </w:r>
            <w:r w:rsidR="00E12F94">
              <w:t xml:space="preserve"> service participation </w:t>
            </w:r>
            <w:r>
              <w:t>rating</w:t>
            </w:r>
            <w:r w:rsidR="00E12F94">
              <w:t xml:space="preserve"> to contractors in </w:t>
            </w:r>
            <w:r w:rsidR="000321D1">
              <w:rPr>
                <w:b/>
              </w:rPr>
              <w:t>28</w:t>
            </w:r>
            <w:r w:rsidR="00963275" w:rsidRPr="00CF09FC">
              <w:rPr>
                <w:b/>
              </w:rPr>
              <w:t xml:space="preserve"> days’ tim</w:t>
            </w:r>
            <w:r w:rsidR="00963275">
              <w:rPr>
                <w:b/>
              </w:rPr>
              <w:t>e (</w:t>
            </w:r>
            <w:r w:rsidR="000321D1">
              <w:rPr>
                <w:b/>
              </w:rPr>
              <w:t>28</w:t>
            </w:r>
            <w:r w:rsidR="000321D1" w:rsidRPr="000321D1">
              <w:rPr>
                <w:b/>
                <w:vertAlign w:val="superscript"/>
              </w:rPr>
              <w:t>th</w:t>
            </w:r>
            <w:r w:rsidR="000321D1">
              <w:rPr>
                <w:b/>
              </w:rPr>
              <w:t xml:space="preserve"> February</w:t>
            </w:r>
            <w:r w:rsidR="00963275">
              <w:rPr>
                <w:b/>
              </w:rPr>
              <w:t>)</w:t>
            </w:r>
            <w:r w:rsidR="00963275">
              <w:t xml:space="preserve">. </w:t>
            </w:r>
            <w:r w:rsidR="00E12F94">
              <w:t xml:space="preserve"> </w:t>
            </w:r>
          </w:p>
          <w:p w14:paraId="36E0A15A" w14:textId="5EF647CF" w:rsidR="00E12F94" w:rsidRDefault="00E12F94" w:rsidP="00B3219E">
            <w:r>
              <w:t xml:space="preserve">Publication </w:t>
            </w:r>
            <w:r w:rsidR="00CF09FC">
              <w:t xml:space="preserve">of this recommendation </w:t>
            </w:r>
            <w:r>
              <w:t>will be via individual email and posting on our website.</w:t>
            </w:r>
          </w:p>
          <w:p w14:paraId="46EDADC1" w14:textId="77777777" w:rsidR="00E12F94" w:rsidRDefault="00E12F94" w:rsidP="00D01E8F">
            <w:pPr>
              <w:rPr>
                <w:color w:val="FF0000"/>
              </w:rPr>
            </w:pPr>
            <w:r w:rsidRPr="00DA6A3F">
              <w:rPr>
                <w:color w:val="FF0000"/>
              </w:rPr>
              <w:t>Commissioners are</w:t>
            </w:r>
            <w:r w:rsidR="00CF09FC">
              <w:rPr>
                <w:color w:val="FF0000"/>
              </w:rPr>
              <w:t xml:space="preserve"> asked to </w:t>
            </w:r>
            <w:r w:rsidR="00D01E8F">
              <w:rPr>
                <w:color w:val="FF0000"/>
              </w:rPr>
              <w:t xml:space="preserve">please </w:t>
            </w:r>
            <w:r w:rsidR="00CF09FC">
              <w:rPr>
                <w:color w:val="FF0000"/>
              </w:rPr>
              <w:t>respond promptly</w:t>
            </w:r>
            <w:r w:rsidR="00D01E8F">
              <w:rPr>
                <w:color w:val="FF0000"/>
              </w:rPr>
              <w:t xml:space="preserve"> with feedback / proposed changes so that they can be included within the </w:t>
            </w:r>
            <w:r w:rsidR="00CF09FC">
              <w:rPr>
                <w:color w:val="FF0000"/>
              </w:rPr>
              <w:t>LPC</w:t>
            </w:r>
            <w:r w:rsidR="00CE5827">
              <w:rPr>
                <w:color w:val="FF0000"/>
              </w:rPr>
              <w:t>’s</w:t>
            </w:r>
            <w:r w:rsidR="00CF09FC">
              <w:rPr>
                <w:color w:val="FF0000"/>
              </w:rPr>
              <w:t xml:space="preserve"> recommendation</w:t>
            </w:r>
            <w:r w:rsidR="00D01E8F">
              <w:rPr>
                <w:color w:val="FF0000"/>
              </w:rPr>
              <w:t xml:space="preserve"> to its contractors</w:t>
            </w:r>
            <w:r w:rsidR="00DA6A3F">
              <w:rPr>
                <w:color w:val="FF0000"/>
              </w:rPr>
              <w:t>.</w:t>
            </w:r>
          </w:p>
          <w:p w14:paraId="629AD8A1" w14:textId="1437575F" w:rsidR="00D3035E" w:rsidRPr="00DA6A3F" w:rsidRDefault="00D3035E" w:rsidP="00D01E8F">
            <w:pPr>
              <w:rPr>
                <w:color w:val="FF0000"/>
              </w:rPr>
            </w:pPr>
          </w:p>
        </w:tc>
      </w:tr>
      <w:tr w:rsidR="00E12F94" w:rsidRPr="00460CB9" w14:paraId="5EA6B310" w14:textId="77777777" w:rsidTr="001535B4">
        <w:trPr>
          <w:trHeight w:val="557"/>
        </w:trPr>
        <w:tc>
          <w:tcPr>
            <w:tcW w:w="9242" w:type="dxa"/>
            <w:gridSpan w:val="4"/>
            <w:shd w:val="clear" w:color="auto" w:fill="auto"/>
            <w:vAlign w:val="center"/>
          </w:tcPr>
          <w:p w14:paraId="5A7BE901" w14:textId="77777777" w:rsidR="00E12F94" w:rsidRDefault="00E12F94" w:rsidP="001535B4">
            <w:pPr>
              <w:jc w:val="center"/>
              <w:rPr>
                <w:b/>
                <w:sz w:val="28"/>
                <w:szCs w:val="28"/>
              </w:rPr>
            </w:pPr>
            <w:r>
              <w:rPr>
                <w:b/>
                <w:sz w:val="28"/>
                <w:szCs w:val="28"/>
              </w:rPr>
              <w:lastRenderedPageBreak/>
              <w:t>Commissioners response to LPC feedback</w:t>
            </w:r>
          </w:p>
        </w:tc>
      </w:tr>
      <w:tr w:rsidR="00AC2ACA" w:rsidRPr="00460CB9" w14:paraId="5D94BD6A" w14:textId="77777777" w:rsidTr="00863E4F">
        <w:trPr>
          <w:trHeight w:val="4400"/>
        </w:trPr>
        <w:tc>
          <w:tcPr>
            <w:tcW w:w="9242" w:type="dxa"/>
            <w:gridSpan w:val="4"/>
            <w:shd w:val="clear" w:color="auto" w:fill="auto"/>
          </w:tcPr>
          <w:p w14:paraId="292DB1AF" w14:textId="77777777" w:rsidR="00CF09FC" w:rsidRDefault="00CF09FC" w:rsidP="00DA6A3F">
            <w:pPr>
              <w:rPr>
                <w:color w:val="FF0000"/>
                <w:szCs w:val="28"/>
              </w:rPr>
            </w:pPr>
          </w:p>
          <w:p w14:paraId="3C3055A3" w14:textId="41DCE400" w:rsidR="00AC2ACA" w:rsidRDefault="004A4DA0" w:rsidP="00DA6A3F">
            <w:pPr>
              <w:rPr>
                <w:color w:val="FF0000"/>
                <w:szCs w:val="28"/>
              </w:rPr>
            </w:pPr>
            <w:r>
              <w:rPr>
                <w:color w:val="FF0000"/>
                <w:szCs w:val="28"/>
              </w:rPr>
              <w:t>Please enter response here,</w:t>
            </w:r>
            <w:r w:rsidR="00DA6A3F">
              <w:rPr>
                <w:color w:val="FF0000"/>
                <w:szCs w:val="28"/>
              </w:rPr>
              <w:t xml:space="preserve"> return</w:t>
            </w:r>
            <w:r>
              <w:rPr>
                <w:color w:val="FF0000"/>
                <w:szCs w:val="28"/>
              </w:rPr>
              <w:t>ing</w:t>
            </w:r>
            <w:r w:rsidR="00DA6A3F">
              <w:rPr>
                <w:color w:val="FF0000"/>
                <w:szCs w:val="28"/>
              </w:rPr>
              <w:t xml:space="preserve"> promptly to </w:t>
            </w:r>
            <w:hyperlink r:id="rId8" w:history="1">
              <w:r w:rsidR="00DA6A3F" w:rsidRPr="00286D59">
                <w:rPr>
                  <w:rStyle w:val="Hyperlink"/>
                  <w:szCs w:val="28"/>
                </w:rPr>
                <w:t>richard.buxton@hampshirelpc.org.uk</w:t>
              </w:r>
            </w:hyperlink>
            <w:r w:rsidR="00DA6A3F">
              <w:rPr>
                <w:color w:val="FF0000"/>
                <w:szCs w:val="28"/>
              </w:rPr>
              <w:t xml:space="preserve"> </w:t>
            </w:r>
          </w:p>
          <w:p w14:paraId="25522C7A" w14:textId="77777777" w:rsidR="00DA6A3F" w:rsidRDefault="00DA6A3F" w:rsidP="00DA6A3F">
            <w:pPr>
              <w:rPr>
                <w:color w:val="FF0000"/>
                <w:szCs w:val="28"/>
              </w:rPr>
            </w:pPr>
          </w:p>
          <w:p w14:paraId="2C9ABC60" w14:textId="77777777" w:rsidR="00EC0291" w:rsidRPr="000E4EEC" w:rsidRDefault="00EC0291" w:rsidP="00EC0291">
            <w:pPr>
              <w:rPr>
                <w:szCs w:val="28"/>
              </w:rPr>
            </w:pPr>
            <w:r w:rsidRPr="000E4EEC">
              <w:rPr>
                <w:szCs w:val="28"/>
              </w:rPr>
              <w:t xml:space="preserve">Thank you for your comments and feedback. We have made some changes accordingly. </w:t>
            </w:r>
          </w:p>
          <w:p w14:paraId="473972AF" w14:textId="77777777" w:rsidR="00EC0291" w:rsidRPr="001608D6" w:rsidRDefault="00EC0291" w:rsidP="00EC0291">
            <w:pPr>
              <w:rPr>
                <w:szCs w:val="28"/>
              </w:rPr>
            </w:pPr>
          </w:p>
          <w:p w14:paraId="01F18C2E" w14:textId="6242BF6C" w:rsidR="00EC0291" w:rsidRPr="001608D6" w:rsidRDefault="00EC0291" w:rsidP="001608D6">
            <w:pPr>
              <w:pStyle w:val="ListParagraph"/>
              <w:numPr>
                <w:ilvl w:val="0"/>
                <w:numId w:val="5"/>
              </w:numPr>
              <w:spacing w:line="276" w:lineRule="auto"/>
              <w:contextualSpacing w:val="0"/>
            </w:pPr>
            <w:r w:rsidRPr="001608D6">
              <w:t>We have made a chan</w:t>
            </w:r>
            <w:r w:rsidR="001608D6" w:rsidRPr="001608D6">
              <w:t xml:space="preserve">ge in payments to include </w:t>
            </w:r>
            <w:proofErr w:type="gramStart"/>
            <w:r w:rsidR="001608D6" w:rsidRPr="001608D6">
              <w:t>non CO</w:t>
            </w:r>
            <w:proofErr w:type="gramEnd"/>
            <w:r w:rsidRPr="001608D6">
              <w:t xml:space="preserve"> validated four week quitters at £25. The CO validation rate remains a key part of performance management. </w:t>
            </w:r>
          </w:p>
          <w:p w14:paraId="2A9B63B4" w14:textId="0CE96DE5" w:rsidR="00EC0291" w:rsidRPr="001608D6" w:rsidRDefault="00EC0291" w:rsidP="001608D6">
            <w:pPr>
              <w:pStyle w:val="ListParagraph"/>
              <w:numPr>
                <w:ilvl w:val="0"/>
                <w:numId w:val="5"/>
              </w:numPr>
              <w:spacing w:line="276" w:lineRule="auto"/>
              <w:contextualSpacing w:val="0"/>
            </w:pPr>
            <w:r w:rsidRPr="001608D6">
              <w:t>We now include altern</w:t>
            </w:r>
            <w:r w:rsidR="001608D6" w:rsidRPr="001608D6">
              <w:t xml:space="preserve">atives to ‘Learning in Action’ </w:t>
            </w:r>
            <w:r w:rsidRPr="001608D6">
              <w:t xml:space="preserve">to enable staff to learn from experienced colleagues within </w:t>
            </w:r>
            <w:r w:rsidR="001608D6" w:rsidRPr="001608D6">
              <w:t>their pharmacy</w:t>
            </w:r>
            <w:r w:rsidRPr="001608D6">
              <w:t xml:space="preserve"> and accept previous health behaviour change experience.</w:t>
            </w:r>
          </w:p>
          <w:p w14:paraId="264CC391" w14:textId="77777777" w:rsidR="00EC0291" w:rsidRPr="001608D6" w:rsidRDefault="00EC0291" w:rsidP="001608D6">
            <w:pPr>
              <w:pStyle w:val="ListParagraph"/>
              <w:numPr>
                <w:ilvl w:val="0"/>
                <w:numId w:val="5"/>
              </w:numPr>
              <w:spacing w:line="276" w:lineRule="auto"/>
              <w:contextualSpacing w:val="0"/>
            </w:pPr>
            <w:r w:rsidRPr="001608D6">
              <w:t xml:space="preserve">We will ensure our training is as flexible as possible whilst continuing to meet national standards. Dates to be provided well in advance unless exceptional circumstances. We will continue to develop the training programme to promote easier access. </w:t>
            </w:r>
          </w:p>
          <w:p w14:paraId="69F74D9E" w14:textId="7E19EFFF" w:rsidR="00EC0291" w:rsidRPr="001608D6" w:rsidRDefault="00EC0291" w:rsidP="001608D6">
            <w:pPr>
              <w:pStyle w:val="ListParagraph"/>
              <w:numPr>
                <w:ilvl w:val="0"/>
                <w:numId w:val="5"/>
              </w:numPr>
              <w:spacing w:line="276" w:lineRule="auto"/>
              <w:contextualSpacing w:val="0"/>
            </w:pPr>
            <w:r w:rsidRPr="001608D6">
              <w:t xml:space="preserve">We have clarified the actions following a service review to appreciate that training </w:t>
            </w:r>
            <w:r w:rsidR="001608D6" w:rsidRPr="001608D6">
              <w:t>etc.</w:t>
            </w:r>
            <w:r w:rsidRPr="001608D6">
              <w:t xml:space="preserve"> may take longer and unforeseen exceptional circumstances may have occurred. </w:t>
            </w:r>
          </w:p>
          <w:p w14:paraId="4F698C3A" w14:textId="77777777" w:rsidR="00EC0291" w:rsidRPr="001608D6" w:rsidRDefault="00EC0291" w:rsidP="001608D6">
            <w:pPr>
              <w:pStyle w:val="ListParagraph"/>
              <w:numPr>
                <w:ilvl w:val="0"/>
                <w:numId w:val="5"/>
              </w:numPr>
              <w:spacing w:line="276" w:lineRule="auto"/>
              <w:contextualSpacing w:val="0"/>
            </w:pPr>
            <w:r w:rsidRPr="001608D6">
              <w:t xml:space="preserve">Quit4Life appreciate and do share training costs for providers. Training is still provided free of change. (There is a significant charge if staff attend training outside of Quit4Life) </w:t>
            </w:r>
          </w:p>
          <w:p w14:paraId="1F356124" w14:textId="77777777" w:rsidR="00EC0291" w:rsidRPr="001608D6" w:rsidRDefault="00EC0291" w:rsidP="001608D6">
            <w:pPr>
              <w:pStyle w:val="ListParagraph"/>
              <w:numPr>
                <w:ilvl w:val="0"/>
                <w:numId w:val="5"/>
              </w:numPr>
              <w:spacing w:line="276" w:lineRule="auto"/>
              <w:contextualSpacing w:val="0"/>
            </w:pPr>
            <w:r w:rsidRPr="001608D6">
              <w:t xml:space="preserve">In point 12.7 we have changed the ‘4 clients per month’ rule to reflect the loss of pregnant clients and possible reduction in clients with SMI or LTC’s (the last 2 groups NOT being exempt but should be OFFERED a referral to promote informed client choice). Ideally 4 clients are seen now.  </w:t>
            </w:r>
          </w:p>
          <w:p w14:paraId="5DDC7446" w14:textId="3B660101" w:rsidR="00EC0291" w:rsidRPr="001608D6" w:rsidRDefault="00EC0291" w:rsidP="001608D6">
            <w:pPr>
              <w:pStyle w:val="ListParagraph"/>
              <w:numPr>
                <w:ilvl w:val="0"/>
                <w:numId w:val="5"/>
              </w:numPr>
              <w:spacing w:line="276" w:lineRule="auto"/>
              <w:contextualSpacing w:val="0"/>
            </w:pPr>
            <w:r w:rsidRPr="001608D6">
              <w:t xml:space="preserve">We note that there is now a direct referral contract where pharmacies are paid to refer clients. Referrals will be taken into consideration in reviewing a </w:t>
            </w:r>
            <w:r w:rsidR="001608D6" w:rsidRPr="001608D6">
              <w:t>providers’</w:t>
            </w:r>
            <w:r w:rsidRPr="001608D6">
              <w:t xml:space="preserve"> activity levels</w:t>
            </w:r>
          </w:p>
          <w:p w14:paraId="6D65853B" w14:textId="77777777" w:rsidR="00EC0291" w:rsidRPr="001608D6" w:rsidRDefault="00EC0291" w:rsidP="001608D6">
            <w:pPr>
              <w:pStyle w:val="ListParagraph"/>
              <w:numPr>
                <w:ilvl w:val="0"/>
                <w:numId w:val="5"/>
              </w:numPr>
              <w:spacing w:line="276" w:lineRule="auto"/>
              <w:contextualSpacing w:val="0"/>
            </w:pPr>
            <w:r w:rsidRPr="001608D6">
              <w:t xml:space="preserve">We have added notes re completion and payment of 12 week quitters to highlight that Quit4Life service will follow up clients after 14 weeks if pharmacies have not done so. </w:t>
            </w:r>
          </w:p>
          <w:p w14:paraId="6AB52689" w14:textId="0CD82E9E" w:rsidR="00EC0291" w:rsidRPr="001608D6" w:rsidRDefault="00EC0291" w:rsidP="001608D6">
            <w:pPr>
              <w:pStyle w:val="ListParagraph"/>
            </w:pPr>
            <w:r w:rsidRPr="001608D6">
              <w:t xml:space="preserve">The pharmacies will not be paid, however, if Quit4Life have confirmed the </w:t>
            </w:r>
            <w:r w:rsidR="001608D6" w:rsidRPr="001608D6">
              <w:t>12-week</w:t>
            </w:r>
            <w:r w:rsidRPr="001608D6">
              <w:t xml:space="preserve"> status unless there are exceptional circumstances and</w:t>
            </w:r>
            <w:r w:rsidRPr="001608D6">
              <w:rPr>
                <w:u w:val="single"/>
              </w:rPr>
              <w:t xml:space="preserve"> </w:t>
            </w:r>
            <w:r w:rsidRPr="001608D6">
              <w:t xml:space="preserve">evidence of the provider attempting to contact the client prior to 14 weeks.  </w:t>
            </w:r>
          </w:p>
          <w:p w14:paraId="5C810B20" w14:textId="77777777" w:rsidR="00DA6A3F" w:rsidRPr="00DA6A3F" w:rsidRDefault="00DA6A3F" w:rsidP="00DA6A3F">
            <w:pPr>
              <w:rPr>
                <w:color w:val="FF0000"/>
                <w:szCs w:val="28"/>
              </w:rPr>
            </w:pPr>
          </w:p>
        </w:tc>
      </w:tr>
      <w:tr w:rsidR="00AC2ACA" w:rsidRPr="00460CB9" w14:paraId="36EABD72" w14:textId="77777777" w:rsidTr="00665D17">
        <w:trPr>
          <w:trHeight w:val="284"/>
        </w:trPr>
        <w:tc>
          <w:tcPr>
            <w:tcW w:w="2733" w:type="dxa"/>
            <w:gridSpan w:val="3"/>
            <w:shd w:val="clear" w:color="auto" w:fill="95B3D7" w:themeFill="accent1" w:themeFillTint="99"/>
          </w:tcPr>
          <w:p w14:paraId="2E336FD7" w14:textId="77777777" w:rsidR="00AC2ACA" w:rsidRPr="00460CB9" w:rsidRDefault="00AC2ACA" w:rsidP="00460CB9">
            <w:pPr>
              <w:jc w:val="center"/>
              <w:rPr>
                <w:b/>
              </w:rPr>
            </w:pPr>
            <w:r w:rsidRPr="00460CB9">
              <w:rPr>
                <w:b/>
              </w:rPr>
              <w:t>Point Covered</w:t>
            </w:r>
          </w:p>
        </w:tc>
        <w:tc>
          <w:tcPr>
            <w:tcW w:w="6509" w:type="dxa"/>
            <w:shd w:val="clear" w:color="auto" w:fill="95B3D7" w:themeFill="accent1" w:themeFillTint="99"/>
          </w:tcPr>
          <w:p w14:paraId="065646E7" w14:textId="77777777" w:rsidR="00AC2ACA" w:rsidRPr="00460CB9" w:rsidRDefault="00AC2ACA" w:rsidP="00460CB9">
            <w:pPr>
              <w:jc w:val="center"/>
              <w:rPr>
                <w:b/>
              </w:rPr>
            </w:pPr>
            <w:r w:rsidRPr="00460CB9">
              <w:rPr>
                <w:b/>
              </w:rPr>
              <w:t xml:space="preserve">Action </w:t>
            </w:r>
            <w:r>
              <w:rPr>
                <w:b/>
              </w:rPr>
              <w:t>or Notes</w:t>
            </w:r>
          </w:p>
        </w:tc>
      </w:tr>
      <w:tr w:rsidR="00AC2ACA" w14:paraId="74C8BB4C" w14:textId="77777777" w:rsidTr="00665D17">
        <w:trPr>
          <w:trHeight w:val="567"/>
        </w:trPr>
        <w:tc>
          <w:tcPr>
            <w:tcW w:w="401" w:type="dxa"/>
            <w:gridSpan w:val="2"/>
          </w:tcPr>
          <w:p w14:paraId="66729AB9" w14:textId="77777777" w:rsidR="00AC2ACA" w:rsidRDefault="00AC2ACA"/>
        </w:tc>
        <w:tc>
          <w:tcPr>
            <w:tcW w:w="8841" w:type="dxa"/>
            <w:gridSpan w:val="2"/>
            <w:vAlign w:val="center"/>
          </w:tcPr>
          <w:p w14:paraId="55A6A304" w14:textId="77777777" w:rsidR="00AC2ACA" w:rsidRPr="0053198F" w:rsidRDefault="00AC2ACA" w:rsidP="00460CB9">
            <w:pPr>
              <w:jc w:val="center"/>
              <w:rPr>
                <w:sz w:val="28"/>
                <w:szCs w:val="28"/>
              </w:rPr>
            </w:pPr>
            <w:r w:rsidRPr="0053198F">
              <w:rPr>
                <w:b/>
                <w:sz w:val="28"/>
                <w:szCs w:val="28"/>
              </w:rPr>
              <w:t>LPC Consultation</w:t>
            </w:r>
          </w:p>
        </w:tc>
      </w:tr>
      <w:tr w:rsidR="00AC2ACA" w14:paraId="2FA224F7" w14:textId="77777777" w:rsidTr="00A106BA">
        <w:trPr>
          <w:trHeight w:val="454"/>
        </w:trPr>
        <w:tc>
          <w:tcPr>
            <w:tcW w:w="2733" w:type="dxa"/>
            <w:gridSpan w:val="3"/>
            <w:vAlign w:val="center"/>
          </w:tcPr>
          <w:p w14:paraId="53C6538F" w14:textId="77777777" w:rsidR="00AC2ACA" w:rsidRDefault="00AC2ACA" w:rsidP="0053198F">
            <w:r>
              <w:t xml:space="preserve">LPC Consulted? </w:t>
            </w:r>
          </w:p>
        </w:tc>
        <w:tc>
          <w:tcPr>
            <w:tcW w:w="6509" w:type="dxa"/>
            <w:tcBorders>
              <w:bottom w:val="single" w:sz="4" w:space="0" w:color="auto"/>
            </w:tcBorders>
            <w:shd w:val="clear" w:color="auto" w:fill="00B050"/>
          </w:tcPr>
          <w:p w14:paraId="7A808603" w14:textId="3C7EECE7" w:rsidR="00AC2ACA" w:rsidRDefault="00B511A9" w:rsidP="00A106BA">
            <w:r>
              <w:t>Yes</w:t>
            </w:r>
          </w:p>
        </w:tc>
      </w:tr>
      <w:tr w:rsidR="00AC2ACA" w14:paraId="5AC5A2C0" w14:textId="77777777" w:rsidTr="00A106BA">
        <w:trPr>
          <w:trHeight w:val="881"/>
        </w:trPr>
        <w:tc>
          <w:tcPr>
            <w:tcW w:w="2733" w:type="dxa"/>
            <w:gridSpan w:val="3"/>
            <w:vAlign w:val="center"/>
          </w:tcPr>
          <w:p w14:paraId="58245467" w14:textId="27C29BDE" w:rsidR="00AC2ACA" w:rsidRDefault="00AC2ACA" w:rsidP="00E8310F">
            <w:r>
              <w:t>LPC Consulted with sufficient time to comment?</w:t>
            </w:r>
          </w:p>
        </w:tc>
        <w:tc>
          <w:tcPr>
            <w:tcW w:w="6509" w:type="dxa"/>
            <w:shd w:val="clear" w:color="auto" w:fill="00B050"/>
          </w:tcPr>
          <w:p w14:paraId="04C6D428" w14:textId="3114726C" w:rsidR="00AC2ACA" w:rsidRDefault="00A106BA" w:rsidP="008317E9">
            <w:r>
              <w:t>Yes, service due to commence 1</w:t>
            </w:r>
            <w:r w:rsidRPr="00A106BA">
              <w:rPr>
                <w:vertAlign w:val="superscript"/>
              </w:rPr>
              <w:t>st</w:t>
            </w:r>
            <w:r w:rsidR="000321D1">
              <w:t xml:space="preserve"> April</w:t>
            </w:r>
            <w:r>
              <w:t xml:space="preserve"> 201</w:t>
            </w:r>
            <w:r w:rsidR="000321D1">
              <w:t>7</w:t>
            </w:r>
          </w:p>
        </w:tc>
      </w:tr>
      <w:tr w:rsidR="00AC2ACA" w14:paraId="5E44D587" w14:textId="77777777" w:rsidTr="00665D17">
        <w:trPr>
          <w:trHeight w:val="567"/>
        </w:trPr>
        <w:tc>
          <w:tcPr>
            <w:tcW w:w="401" w:type="dxa"/>
            <w:gridSpan w:val="2"/>
          </w:tcPr>
          <w:p w14:paraId="6B017DA2" w14:textId="77777777" w:rsidR="00AC2ACA" w:rsidRDefault="00AC2ACA"/>
        </w:tc>
        <w:tc>
          <w:tcPr>
            <w:tcW w:w="8841" w:type="dxa"/>
            <w:gridSpan w:val="2"/>
            <w:vAlign w:val="center"/>
          </w:tcPr>
          <w:p w14:paraId="333DA08B" w14:textId="77777777" w:rsidR="00AC2ACA" w:rsidRPr="0053198F" w:rsidRDefault="00AC2ACA" w:rsidP="00460CB9">
            <w:pPr>
              <w:jc w:val="center"/>
              <w:rPr>
                <w:b/>
                <w:sz w:val="28"/>
                <w:szCs w:val="28"/>
              </w:rPr>
            </w:pPr>
            <w:r w:rsidRPr="0053198F">
              <w:rPr>
                <w:b/>
                <w:sz w:val="28"/>
                <w:szCs w:val="28"/>
              </w:rPr>
              <w:t>Remuneration</w:t>
            </w:r>
          </w:p>
        </w:tc>
      </w:tr>
      <w:tr w:rsidR="00AC2ACA" w14:paraId="7CBA263C" w14:textId="77777777" w:rsidTr="0019387E">
        <w:trPr>
          <w:trHeight w:val="872"/>
        </w:trPr>
        <w:tc>
          <w:tcPr>
            <w:tcW w:w="2733" w:type="dxa"/>
            <w:gridSpan w:val="3"/>
            <w:vAlign w:val="center"/>
          </w:tcPr>
          <w:p w14:paraId="2AA71D79" w14:textId="55EA3453" w:rsidR="00AC2ACA" w:rsidRDefault="00AC2ACA" w:rsidP="0053198F">
            <w:r>
              <w:t>Does remuneration include/cover set up costs, backfill, consumables etc</w:t>
            </w:r>
            <w:r w:rsidR="007F001C">
              <w:t>..?</w:t>
            </w:r>
          </w:p>
        </w:tc>
        <w:tc>
          <w:tcPr>
            <w:tcW w:w="6509" w:type="dxa"/>
            <w:tcBorders>
              <w:bottom w:val="single" w:sz="4" w:space="0" w:color="auto"/>
            </w:tcBorders>
            <w:shd w:val="clear" w:color="auto" w:fill="00B050"/>
          </w:tcPr>
          <w:p w14:paraId="68227D14" w14:textId="45467B5A" w:rsidR="00AC2ACA" w:rsidRDefault="006C336D" w:rsidP="006C336D">
            <w:pPr>
              <w:shd w:val="clear" w:color="auto" w:fill="00B050"/>
            </w:pPr>
            <w:r>
              <w:t>S</w:t>
            </w:r>
            <w:r w:rsidR="000321D1">
              <w:t xml:space="preserve">et up </w:t>
            </w:r>
            <w:r>
              <w:t>of CO monitor, consumables</w:t>
            </w:r>
            <w:r w:rsidR="00B511A9">
              <w:t xml:space="preserve"> </w:t>
            </w:r>
            <w:r>
              <w:t xml:space="preserve">and servicing costs </w:t>
            </w:r>
            <w:r w:rsidR="00B511A9">
              <w:t>involved</w:t>
            </w:r>
            <w:r>
              <w:t xml:space="preserve"> are all covered by Quit4Life</w:t>
            </w:r>
            <w:r w:rsidR="00B511A9">
              <w:t>.</w:t>
            </w:r>
          </w:p>
          <w:p w14:paraId="39C26AEA" w14:textId="0C7B0F92" w:rsidR="0019387E" w:rsidRDefault="000321D1" w:rsidP="0019387E">
            <w:pPr>
              <w:shd w:val="clear" w:color="auto" w:fill="FFC000"/>
            </w:pPr>
            <w:r>
              <w:t xml:space="preserve">No remuneration </w:t>
            </w:r>
            <w:proofErr w:type="gramStart"/>
            <w:r>
              <w:t>backfill</w:t>
            </w:r>
            <w:proofErr w:type="gramEnd"/>
            <w:r>
              <w:t xml:space="preserve"> for training</w:t>
            </w:r>
            <w:r w:rsidR="00182655">
              <w:t xml:space="preserve">, shadowing Quit4Life advisors </w:t>
            </w:r>
            <w:r w:rsidR="0019387E">
              <w:t>or recommended attendance of update meetings.</w:t>
            </w:r>
          </w:p>
          <w:p w14:paraId="10728C75" w14:textId="050F78B8" w:rsidR="00AC2ACA" w:rsidRDefault="0019387E" w:rsidP="0019387E">
            <w:pPr>
              <w:shd w:val="clear" w:color="auto" w:fill="FFC000"/>
            </w:pPr>
            <w:r>
              <w:lastRenderedPageBreak/>
              <w:t>M</w:t>
            </w:r>
            <w:r w:rsidR="00182655">
              <w:t>inimum 3 sessions for new advisors</w:t>
            </w:r>
            <w:r w:rsidR="00A2379B">
              <w:t xml:space="preserve"> recommended </w:t>
            </w:r>
            <w:r>
              <w:t xml:space="preserve">to shadow Quit4Life advisors, </w:t>
            </w:r>
            <w:r w:rsidR="00A2379B">
              <w:t>or alternatively shadowing a colleague in their area of work and/or provide approved written evidence</w:t>
            </w:r>
            <w:r>
              <w:t xml:space="preserve"> of h</w:t>
            </w:r>
            <w:r w:rsidR="00A2379B">
              <w:t>ealth behavioural change skills and experience gained elsewhere</w:t>
            </w:r>
            <w:r>
              <w:t>.</w:t>
            </w:r>
          </w:p>
          <w:p w14:paraId="0708EEB4" w14:textId="0CB900CC" w:rsidR="0019387E" w:rsidRDefault="0019387E" w:rsidP="0019387E">
            <w:pPr>
              <w:shd w:val="clear" w:color="auto" w:fill="FFC000"/>
            </w:pPr>
            <w:r>
              <w:t xml:space="preserve">Minimum requirement of 6 monthly attendance </w:t>
            </w:r>
            <w:r w:rsidR="00110104">
              <w:t xml:space="preserve">is expected </w:t>
            </w:r>
            <w:r>
              <w:t xml:space="preserve">for </w:t>
            </w:r>
            <w:r w:rsidR="00110104">
              <w:t xml:space="preserve">service development </w:t>
            </w:r>
            <w:r>
              <w:t>update meetings.</w:t>
            </w:r>
          </w:p>
        </w:tc>
      </w:tr>
      <w:tr w:rsidR="00AC2ACA" w14:paraId="6A7452EE" w14:textId="77777777" w:rsidTr="00C52109">
        <w:trPr>
          <w:trHeight w:val="1412"/>
        </w:trPr>
        <w:tc>
          <w:tcPr>
            <w:tcW w:w="2733" w:type="dxa"/>
            <w:gridSpan w:val="3"/>
            <w:vAlign w:val="center"/>
          </w:tcPr>
          <w:p w14:paraId="0C59CA81" w14:textId="77777777" w:rsidR="00AC2ACA" w:rsidRDefault="00AC2ACA" w:rsidP="0053198F">
            <w:r>
              <w:lastRenderedPageBreak/>
              <w:t>Does the payment structure use a system that is suitable for all contractors and are the payment terms acceptable?</w:t>
            </w:r>
          </w:p>
        </w:tc>
        <w:tc>
          <w:tcPr>
            <w:tcW w:w="6509" w:type="dxa"/>
            <w:tcBorders>
              <w:bottom w:val="single" w:sz="4" w:space="0" w:color="auto"/>
            </w:tcBorders>
            <w:shd w:val="clear" w:color="auto" w:fill="00B050"/>
          </w:tcPr>
          <w:p w14:paraId="62D4469D" w14:textId="2322ECBC" w:rsidR="00737CD5" w:rsidRDefault="005F25A9" w:rsidP="00737CD5">
            <w:r>
              <w:t>Yes</w:t>
            </w:r>
            <w:r w:rsidR="00737CD5">
              <w:t xml:space="preserve">, invoices </w:t>
            </w:r>
            <w:r w:rsidR="000321D1">
              <w:t>need to be printed within first working week from QuitManager and submitted to Quit4Life.</w:t>
            </w:r>
          </w:p>
          <w:p w14:paraId="6BBA7055" w14:textId="386B6667" w:rsidR="00697410" w:rsidRDefault="00737CD5" w:rsidP="00ED6DC6">
            <w:r>
              <w:t>Invoices not submitted within 3 months or missing the end of q</w:t>
            </w:r>
            <w:r w:rsidR="000321D1">
              <w:t>uarter or year will not be paid except in exceptional circumstances.</w:t>
            </w:r>
          </w:p>
        </w:tc>
      </w:tr>
      <w:tr w:rsidR="00AC2ACA" w14:paraId="217E4207" w14:textId="77777777" w:rsidTr="00C52109">
        <w:trPr>
          <w:trHeight w:val="284"/>
        </w:trPr>
        <w:tc>
          <w:tcPr>
            <w:tcW w:w="2733" w:type="dxa"/>
            <w:gridSpan w:val="3"/>
            <w:vAlign w:val="center"/>
          </w:tcPr>
          <w:p w14:paraId="0B9E5D97" w14:textId="6F2CDAA5" w:rsidR="00AC2ACA" w:rsidRDefault="00AC2ACA" w:rsidP="0053198F">
            <w:r>
              <w:t>Where equipment is required who pr</w:t>
            </w:r>
            <w:r w:rsidR="007F001C">
              <w:t>ovides/calibrates/services this?</w:t>
            </w:r>
            <w:r>
              <w:t xml:space="preserve"> If contractor</w:t>
            </w:r>
            <w:r w:rsidR="007F001C">
              <w:t>,</w:t>
            </w:r>
            <w:r>
              <w:t xml:space="preserve"> does remuneration sufficiently cover the cost of this?</w:t>
            </w:r>
          </w:p>
        </w:tc>
        <w:tc>
          <w:tcPr>
            <w:tcW w:w="6509" w:type="dxa"/>
            <w:shd w:val="clear" w:color="auto" w:fill="00B050"/>
          </w:tcPr>
          <w:p w14:paraId="55791743" w14:textId="752E2889" w:rsidR="00AC2ACA" w:rsidRDefault="00C52109" w:rsidP="00643981">
            <w:r>
              <w:t>Costs covered by Quit4Life.</w:t>
            </w:r>
          </w:p>
        </w:tc>
      </w:tr>
      <w:tr w:rsidR="00674853" w14:paraId="24AC69E5" w14:textId="77777777" w:rsidTr="00863E4F">
        <w:trPr>
          <w:trHeight w:val="2780"/>
        </w:trPr>
        <w:tc>
          <w:tcPr>
            <w:tcW w:w="2733" w:type="dxa"/>
            <w:gridSpan w:val="3"/>
            <w:vAlign w:val="center"/>
          </w:tcPr>
          <w:p w14:paraId="10BCC630" w14:textId="69984467" w:rsidR="00674853" w:rsidRDefault="00674853" w:rsidP="0053198F">
            <w:r>
              <w:t>Is remuneration fair?</w:t>
            </w:r>
          </w:p>
        </w:tc>
        <w:tc>
          <w:tcPr>
            <w:tcW w:w="6509" w:type="dxa"/>
            <w:shd w:val="clear" w:color="auto" w:fill="00B050"/>
          </w:tcPr>
          <w:p w14:paraId="0B444AD3" w14:textId="10C902C7" w:rsidR="000321D1" w:rsidRDefault="00E3057D" w:rsidP="00162552">
            <w:r>
              <w:t xml:space="preserve">Yes, </w:t>
            </w:r>
            <w:r w:rsidR="000321D1">
              <w:t xml:space="preserve">improved remuneration </w:t>
            </w:r>
            <w:r w:rsidR="004461F3">
              <w:t>to incentivise successful quits based on ‘Payments by Results (</w:t>
            </w:r>
            <w:proofErr w:type="spellStart"/>
            <w:r w:rsidR="004461F3">
              <w:t>PbR</w:t>
            </w:r>
            <w:proofErr w:type="spellEnd"/>
            <w:r w:rsidR="004461F3">
              <w:t>)’ framework endorsed by DH.</w:t>
            </w:r>
          </w:p>
          <w:p w14:paraId="644E9295" w14:textId="22FA2A39" w:rsidR="000321D1" w:rsidRPr="004461F3" w:rsidRDefault="000321D1" w:rsidP="000321D1">
            <w:pPr>
              <w:pStyle w:val="CommentText"/>
              <w:rPr>
                <w:rFonts w:asciiTheme="minorHAnsi" w:hAnsiTheme="minorHAnsi"/>
              </w:rPr>
            </w:pPr>
            <w:r w:rsidRPr="004461F3">
              <w:rPr>
                <w:rFonts w:asciiTheme="minorHAnsi" w:hAnsiTheme="minorHAnsi"/>
              </w:rPr>
              <w:t>Increase from £10 to £25 as long as client attend 2 sessions.</w:t>
            </w:r>
          </w:p>
          <w:p w14:paraId="355A527E" w14:textId="156BF465" w:rsidR="000321D1" w:rsidRPr="004461F3" w:rsidRDefault="000321D1" w:rsidP="000321D1">
            <w:pPr>
              <w:pStyle w:val="CommentText"/>
              <w:rPr>
                <w:rFonts w:asciiTheme="minorHAnsi" w:hAnsiTheme="minorHAnsi"/>
              </w:rPr>
            </w:pPr>
            <w:r w:rsidRPr="004461F3">
              <w:rPr>
                <w:rFonts w:asciiTheme="minorHAnsi" w:hAnsiTheme="minorHAnsi"/>
              </w:rPr>
              <w:t>I</w:t>
            </w:r>
            <w:r w:rsidR="00FA5B9C">
              <w:rPr>
                <w:rFonts w:asciiTheme="minorHAnsi" w:hAnsiTheme="minorHAnsi"/>
              </w:rPr>
              <w:t xml:space="preserve">ntroduction of </w:t>
            </w:r>
            <w:r w:rsidR="007F6D2B">
              <w:rPr>
                <w:rFonts w:asciiTheme="minorHAnsi" w:hAnsiTheme="minorHAnsi"/>
              </w:rPr>
              <w:t xml:space="preserve">a </w:t>
            </w:r>
            <w:r w:rsidR="00FA5B9C">
              <w:rPr>
                <w:rFonts w:asciiTheme="minorHAnsi" w:hAnsiTheme="minorHAnsi"/>
              </w:rPr>
              <w:t xml:space="preserve">£25 </w:t>
            </w:r>
            <w:r w:rsidR="007F6D2B">
              <w:rPr>
                <w:rFonts w:asciiTheme="minorHAnsi" w:hAnsiTheme="minorHAnsi"/>
              </w:rPr>
              <w:t xml:space="preserve">bonus </w:t>
            </w:r>
            <w:r w:rsidRPr="004461F3">
              <w:rPr>
                <w:rFonts w:asciiTheme="minorHAnsi" w:hAnsiTheme="minorHAnsi"/>
              </w:rPr>
              <w:t xml:space="preserve">for a </w:t>
            </w:r>
            <w:r w:rsidR="004461F3" w:rsidRPr="004461F3">
              <w:rPr>
                <w:rFonts w:asciiTheme="minorHAnsi" w:hAnsiTheme="minorHAnsi"/>
              </w:rPr>
              <w:t>4-week</w:t>
            </w:r>
            <w:r w:rsidRPr="004461F3">
              <w:rPr>
                <w:rFonts w:asciiTheme="minorHAnsi" w:hAnsiTheme="minorHAnsi"/>
              </w:rPr>
              <w:t xml:space="preserve"> quit</w:t>
            </w:r>
            <w:r w:rsidR="00FA5B9C">
              <w:rPr>
                <w:rFonts w:asciiTheme="minorHAnsi" w:hAnsiTheme="minorHAnsi"/>
              </w:rPr>
              <w:t xml:space="preserve"> if no CO validation, or </w:t>
            </w:r>
            <w:r w:rsidR="007F6D2B">
              <w:rPr>
                <w:rFonts w:asciiTheme="minorHAnsi" w:hAnsiTheme="minorHAnsi"/>
              </w:rPr>
              <w:t xml:space="preserve">a </w:t>
            </w:r>
            <w:r w:rsidR="00FA5B9C">
              <w:rPr>
                <w:rFonts w:asciiTheme="minorHAnsi" w:hAnsiTheme="minorHAnsi"/>
              </w:rPr>
              <w:t>£50</w:t>
            </w:r>
            <w:r w:rsidR="00FA5B9C" w:rsidRPr="004461F3">
              <w:rPr>
                <w:rFonts w:asciiTheme="minorHAnsi" w:hAnsiTheme="minorHAnsi"/>
              </w:rPr>
              <w:t xml:space="preserve"> </w:t>
            </w:r>
            <w:r w:rsidR="007F6D2B">
              <w:rPr>
                <w:rFonts w:asciiTheme="minorHAnsi" w:hAnsiTheme="minorHAnsi"/>
              </w:rPr>
              <w:t xml:space="preserve">bonus </w:t>
            </w:r>
            <w:r w:rsidR="00FA5B9C">
              <w:rPr>
                <w:rFonts w:asciiTheme="minorHAnsi" w:hAnsiTheme="minorHAnsi"/>
              </w:rPr>
              <w:t>if</w:t>
            </w:r>
            <w:r w:rsidR="00FA5B9C" w:rsidRPr="004461F3">
              <w:rPr>
                <w:rFonts w:asciiTheme="minorHAnsi" w:hAnsiTheme="minorHAnsi"/>
              </w:rPr>
              <w:t xml:space="preserve"> CO validation.</w:t>
            </w:r>
          </w:p>
          <w:p w14:paraId="77DE0D0E" w14:textId="77777777" w:rsidR="00697410" w:rsidRDefault="000321D1" w:rsidP="000321D1">
            <w:r w:rsidRPr="004461F3">
              <w:t>Introduction of</w:t>
            </w:r>
            <w:r w:rsidR="004461F3" w:rsidRPr="004461F3">
              <w:t xml:space="preserve"> a £30 fee for 12-</w:t>
            </w:r>
            <w:r w:rsidRPr="004461F3">
              <w:t xml:space="preserve">week </w:t>
            </w:r>
            <w:r w:rsidR="004461F3" w:rsidRPr="004461F3">
              <w:t xml:space="preserve">follow-up </w:t>
            </w:r>
            <w:r w:rsidRPr="004461F3">
              <w:t>quits.</w:t>
            </w:r>
          </w:p>
          <w:p w14:paraId="6229A146" w14:textId="07573C43" w:rsidR="00E837A6" w:rsidRDefault="00E837A6" w:rsidP="000321D1">
            <w:r>
              <w:t xml:space="preserve">Reimbursement of NRT products at drug </w:t>
            </w:r>
            <w:r w:rsidR="00A61907">
              <w:t>tariff price +5% VAT for up to 12</w:t>
            </w:r>
            <w:r>
              <w:t xml:space="preserve"> </w:t>
            </w:r>
            <w:r w:rsidR="00D3035E">
              <w:t>weeks’</w:t>
            </w:r>
            <w:r>
              <w:t xml:space="preserve"> supply of product per patient.</w:t>
            </w:r>
            <w:r w:rsidR="00FA5B9C">
              <w:t xml:space="preserve"> (was 8 weeks)</w:t>
            </w:r>
          </w:p>
          <w:p w14:paraId="350BE712" w14:textId="7AF36366" w:rsidR="00182655" w:rsidRDefault="00182655" w:rsidP="0019387E">
            <w:pPr>
              <w:shd w:val="clear" w:color="auto" w:fill="FFC000"/>
            </w:pPr>
            <w:r w:rsidRPr="008D65DE">
              <w:rPr>
                <w:shd w:val="clear" w:color="auto" w:fill="FFC000"/>
              </w:rPr>
              <w:t>No remuneration for the large amount of training, updates and shadowing requirements in becoming and remaining an advisor.</w:t>
            </w:r>
          </w:p>
        </w:tc>
      </w:tr>
      <w:tr w:rsidR="00674853" w14:paraId="573E4F34" w14:textId="77777777" w:rsidTr="00665D17">
        <w:trPr>
          <w:trHeight w:val="567"/>
        </w:trPr>
        <w:tc>
          <w:tcPr>
            <w:tcW w:w="250" w:type="dxa"/>
            <w:vAlign w:val="center"/>
          </w:tcPr>
          <w:p w14:paraId="03B7D479" w14:textId="55F7261E" w:rsidR="00674853" w:rsidRDefault="00674853" w:rsidP="0053198F"/>
        </w:tc>
        <w:tc>
          <w:tcPr>
            <w:tcW w:w="8992" w:type="dxa"/>
            <w:gridSpan w:val="3"/>
            <w:vAlign w:val="center"/>
          </w:tcPr>
          <w:p w14:paraId="3E5ED5D6" w14:textId="77777777" w:rsidR="00674853" w:rsidRPr="0053198F" w:rsidRDefault="00674853" w:rsidP="0053198F">
            <w:pPr>
              <w:jc w:val="center"/>
              <w:rPr>
                <w:b/>
                <w:sz w:val="28"/>
                <w:szCs w:val="28"/>
              </w:rPr>
            </w:pPr>
            <w:r>
              <w:rPr>
                <w:b/>
                <w:sz w:val="28"/>
                <w:szCs w:val="28"/>
              </w:rPr>
              <w:t>Is/does t</w:t>
            </w:r>
            <w:r w:rsidRPr="0053198F">
              <w:rPr>
                <w:b/>
                <w:sz w:val="28"/>
                <w:szCs w:val="28"/>
              </w:rPr>
              <w:t>he Service</w:t>
            </w:r>
            <w:proofErr w:type="gramStart"/>
            <w:r>
              <w:rPr>
                <w:b/>
                <w:sz w:val="28"/>
                <w:szCs w:val="28"/>
              </w:rPr>
              <w:t>.....</w:t>
            </w:r>
            <w:proofErr w:type="gramEnd"/>
          </w:p>
        </w:tc>
      </w:tr>
      <w:tr w:rsidR="00674853" w14:paraId="4477199B" w14:textId="77777777" w:rsidTr="00863E4F">
        <w:trPr>
          <w:trHeight w:val="350"/>
        </w:trPr>
        <w:tc>
          <w:tcPr>
            <w:tcW w:w="2733" w:type="dxa"/>
            <w:gridSpan w:val="3"/>
            <w:vAlign w:val="center"/>
          </w:tcPr>
          <w:p w14:paraId="0C715D47" w14:textId="77777777" w:rsidR="00674853" w:rsidRDefault="00674853" w:rsidP="00E8310F">
            <w:r>
              <w:t>Sustainable?</w:t>
            </w:r>
          </w:p>
        </w:tc>
        <w:tc>
          <w:tcPr>
            <w:tcW w:w="6509" w:type="dxa"/>
            <w:tcBorders>
              <w:bottom w:val="single" w:sz="4" w:space="0" w:color="auto"/>
            </w:tcBorders>
            <w:shd w:val="clear" w:color="auto" w:fill="00B050"/>
          </w:tcPr>
          <w:p w14:paraId="74142908" w14:textId="6623E3F5" w:rsidR="00674853" w:rsidRDefault="004461F3" w:rsidP="0051619F">
            <w:r>
              <w:t>Yes</w:t>
            </w:r>
          </w:p>
        </w:tc>
      </w:tr>
      <w:tr w:rsidR="00674853" w14:paraId="16A74219" w14:textId="77777777" w:rsidTr="00863E4F">
        <w:trPr>
          <w:trHeight w:val="1412"/>
        </w:trPr>
        <w:tc>
          <w:tcPr>
            <w:tcW w:w="2733" w:type="dxa"/>
            <w:gridSpan w:val="3"/>
            <w:vAlign w:val="center"/>
          </w:tcPr>
          <w:p w14:paraId="281E3955" w14:textId="109E1D2A" w:rsidR="00674853" w:rsidRDefault="00674853" w:rsidP="00E8310F">
            <w:r>
              <w:t>Clinically sound and in line with appropriate National or local guidance?</w:t>
            </w:r>
          </w:p>
        </w:tc>
        <w:tc>
          <w:tcPr>
            <w:tcW w:w="6509" w:type="dxa"/>
            <w:shd w:val="clear" w:color="auto" w:fill="00B050"/>
          </w:tcPr>
          <w:p w14:paraId="65F3B3E5" w14:textId="77777777" w:rsidR="00643981" w:rsidRDefault="004461F3" w:rsidP="005F25A9">
            <w:r>
              <w:t>Yes.</w:t>
            </w:r>
          </w:p>
          <w:p w14:paraId="1318A36C" w14:textId="0C3711E5" w:rsidR="00C52109" w:rsidRDefault="00C52109" w:rsidP="005F25A9">
            <w:r>
              <w:t>Healthier Lives, Healthy People: A Tobacco Control Plan for England</w:t>
            </w:r>
          </w:p>
          <w:p w14:paraId="61911654" w14:textId="7207F357" w:rsidR="006C336D" w:rsidRDefault="00C52109" w:rsidP="006C336D">
            <w:r>
              <w:t>(</w:t>
            </w:r>
            <w:r w:rsidR="006C336D">
              <w:t>DH definitions</w:t>
            </w:r>
            <w:r>
              <w:t>)</w:t>
            </w:r>
          </w:p>
          <w:p w14:paraId="360F35D6" w14:textId="77777777" w:rsidR="00C52109" w:rsidRDefault="00C52109" w:rsidP="006C336D">
            <w:r>
              <w:t>NICE guidelines</w:t>
            </w:r>
          </w:p>
          <w:p w14:paraId="2A8A4C8B" w14:textId="00911582" w:rsidR="00C52109" w:rsidRDefault="00C52109" w:rsidP="006C336D">
            <w:r>
              <w:t>Promotion of healthy lifestyles (Public Health)</w:t>
            </w:r>
          </w:p>
        </w:tc>
      </w:tr>
      <w:tr w:rsidR="00674853" w14:paraId="5B9C68F9" w14:textId="77777777" w:rsidTr="00685EB3">
        <w:trPr>
          <w:trHeight w:val="620"/>
        </w:trPr>
        <w:tc>
          <w:tcPr>
            <w:tcW w:w="2733" w:type="dxa"/>
            <w:gridSpan w:val="3"/>
            <w:vAlign w:val="center"/>
          </w:tcPr>
          <w:p w14:paraId="299F6524" w14:textId="0CDBE86C" w:rsidR="00674853" w:rsidRDefault="00674853" w:rsidP="00E8310F">
            <w:r>
              <w:t>Enhance patient care?</w:t>
            </w:r>
          </w:p>
        </w:tc>
        <w:tc>
          <w:tcPr>
            <w:tcW w:w="6509" w:type="dxa"/>
            <w:tcBorders>
              <w:bottom w:val="single" w:sz="4" w:space="0" w:color="auto"/>
            </w:tcBorders>
            <w:shd w:val="clear" w:color="auto" w:fill="00B050"/>
          </w:tcPr>
          <w:p w14:paraId="62F7E86C" w14:textId="486A0493" w:rsidR="00674853" w:rsidRDefault="00C52109" w:rsidP="00C52109">
            <w:r>
              <w:t>Yes,</w:t>
            </w:r>
            <w:r w:rsidR="00B511A9">
              <w:t xml:space="preserve"> </w:t>
            </w:r>
            <w:r>
              <w:t>increased quality measures through increased time of consultation expectations and improved quit rates.</w:t>
            </w:r>
          </w:p>
        </w:tc>
      </w:tr>
      <w:tr w:rsidR="00674853" w14:paraId="125299A8" w14:textId="77777777" w:rsidTr="00685EB3">
        <w:trPr>
          <w:trHeight w:val="1142"/>
        </w:trPr>
        <w:tc>
          <w:tcPr>
            <w:tcW w:w="2733" w:type="dxa"/>
            <w:gridSpan w:val="3"/>
            <w:vAlign w:val="center"/>
          </w:tcPr>
          <w:p w14:paraId="1A740E52" w14:textId="0D962D3A" w:rsidR="00674853" w:rsidRDefault="00674853" w:rsidP="00E8310F">
            <w:r>
              <w:t>Have suitable monitoring arrangements and termination clauses?</w:t>
            </w:r>
          </w:p>
        </w:tc>
        <w:tc>
          <w:tcPr>
            <w:tcW w:w="6509" w:type="dxa"/>
            <w:shd w:val="clear" w:color="auto" w:fill="00B050"/>
          </w:tcPr>
          <w:p w14:paraId="1AE6B91F" w14:textId="688EE843" w:rsidR="004461F3" w:rsidRDefault="004461F3" w:rsidP="004461F3">
            <w:r>
              <w:t>Performance will be monitored by Quit4Life and quarterly feedback will be provided.</w:t>
            </w:r>
          </w:p>
          <w:p w14:paraId="71562EE9" w14:textId="1E97DFEC" w:rsidR="001D07E9" w:rsidRDefault="00473556">
            <w:r>
              <w:t>Suspension</w:t>
            </w:r>
            <w:r w:rsidR="00685EB3">
              <w:t xml:space="preserve"> &amp; termination clauses now defined</w:t>
            </w:r>
            <w:r>
              <w:t xml:space="preserve"> and based on specific performance criteria</w:t>
            </w:r>
            <w:r w:rsidR="00685EB3">
              <w:t>, unless local agreement by Quit4Life</w:t>
            </w:r>
            <w:r>
              <w:t>. (* see note below re: performance measures)</w:t>
            </w:r>
          </w:p>
        </w:tc>
      </w:tr>
      <w:tr w:rsidR="00674853" w14:paraId="2FF73E44" w14:textId="77777777" w:rsidTr="00863E4F">
        <w:trPr>
          <w:trHeight w:val="620"/>
        </w:trPr>
        <w:tc>
          <w:tcPr>
            <w:tcW w:w="2733" w:type="dxa"/>
            <w:gridSpan w:val="3"/>
            <w:vAlign w:val="center"/>
          </w:tcPr>
          <w:p w14:paraId="05DD82FF" w14:textId="2CAA5079" w:rsidR="00674853" w:rsidRDefault="00674853" w:rsidP="00E8310F">
            <w:r>
              <w:t>Enhance relationships with other HCPs?</w:t>
            </w:r>
          </w:p>
        </w:tc>
        <w:tc>
          <w:tcPr>
            <w:tcW w:w="6509" w:type="dxa"/>
            <w:shd w:val="clear" w:color="auto" w:fill="00B050"/>
          </w:tcPr>
          <w:p w14:paraId="1DF7369F" w14:textId="263E625B" w:rsidR="00674853" w:rsidRDefault="00B511A9" w:rsidP="001F617C">
            <w:r>
              <w:t>Yes</w:t>
            </w:r>
            <w:r w:rsidR="001F617C">
              <w:t>, greater participation</w:t>
            </w:r>
            <w:r w:rsidR="00665D17">
              <w:t xml:space="preserve"> </w:t>
            </w:r>
            <w:r w:rsidR="00C52109">
              <w:t xml:space="preserve">and successful quit rates </w:t>
            </w:r>
            <w:r w:rsidR="001F617C">
              <w:t>will enhance reputation with the commissioners</w:t>
            </w:r>
            <w:r w:rsidR="00665D17">
              <w:t>.</w:t>
            </w:r>
          </w:p>
        </w:tc>
      </w:tr>
      <w:tr w:rsidR="00674853" w14:paraId="0663853B" w14:textId="77777777" w:rsidTr="000D51A7">
        <w:trPr>
          <w:trHeight w:val="359"/>
        </w:trPr>
        <w:tc>
          <w:tcPr>
            <w:tcW w:w="2733" w:type="dxa"/>
            <w:gridSpan w:val="3"/>
            <w:vAlign w:val="center"/>
          </w:tcPr>
          <w:p w14:paraId="3B1C7BA3" w14:textId="77777777" w:rsidR="00674853" w:rsidRDefault="00674853" w:rsidP="00E8310F">
            <w:r>
              <w:t>Deliverable?</w:t>
            </w:r>
          </w:p>
        </w:tc>
        <w:tc>
          <w:tcPr>
            <w:tcW w:w="6509" w:type="dxa"/>
            <w:shd w:val="clear" w:color="auto" w:fill="00B050"/>
          </w:tcPr>
          <w:p w14:paraId="5D0E3DBE" w14:textId="0E4B6A43" w:rsidR="00674853" w:rsidRDefault="00B511A9" w:rsidP="00E8310F">
            <w:r>
              <w:t>Yes</w:t>
            </w:r>
          </w:p>
        </w:tc>
      </w:tr>
      <w:tr w:rsidR="00674853" w14:paraId="3E4D7843" w14:textId="77777777" w:rsidTr="00963275">
        <w:trPr>
          <w:trHeight w:val="908"/>
        </w:trPr>
        <w:tc>
          <w:tcPr>
            <w:tcW w:w="2733" w:type="dxa"/>
            <w:gridSpan w:val="3"/>
            <w:vAlign w:val="center"/>
          </w:tcPr>
          <w:p w14:paraId="32FAEECB" w14:textId="77777777" w:rsidR="00674853" w:rsidRDefault="00674853" w:rsidP="00E8310F">
            <w:r>
              <w:lastRenderedPageBreak/>
              <w:t>Attractive enough for contractors to consider it worthwhile?</w:t>
            </w:r>
          </w:p>
        </w:tc>
        <w:tc>
          <w:tcPr>
            <w:tcW w:w="6509" w:type="dxa"/>
            <w:shd w:val="clear" w:color="auto" w:fill="00B050"/>
          </w:tcPr>
          <w:p w14:paraId="5FA7AABA" w14:textId="3D47D12B" w:rsidR="00674853" w:rsidRDefault="00737CD5" w:rsidP="00737CD5">
            <w:r>
              <w:t>Yes</w:t>
            </w:r>
          </w:p>
        </w:tc>
      </w:tr>
      <w:tr w:rsidR="00674853" w14:paraId="2F208423" w14:textId="77777777" w:rsidTr="00863E4F">
        <w:trPr>
          <w:trHeight w:val="2492"/>
        </w:trPr>
        <w:tc>
          <w:tcPr>
            <w:tcW w:w="2733" w:type="dxa"/>
            <w:gridSpan w:val="3"/>
            <w:vAlign w:val="center"/>
          </w:tcPr>
          <w:p w14:paraId="3D0B8240" w14:textId="77777777" w:rsidR="00674853" w:rsidRDefault="00674853" w:rsidP="00E8310F">
            <w:r>
              <w:t>Have performance criteria that supports a quality service?</w:t>
            </w:r>
          </w:p>
        </w:tc>
        <w:tc>
          <w:tcPr>
            <w:tcW w:w="6509" w:type="dxa"/>
            <w:shd w:val="clear" w:color="auto" w:fill="00B050"/>
          </w:tcPr>
          <w:p w14:paraId="7F365654" w14:textId="77777777" w:rsidR="00D16991" w:rsidRDefault="004461F3" w:rsidP="0041049D">
            <w:r>
              <w:t xml:space="preserve">Yes, increase in minimum performance levels in-line with </w:t>
            </w:r>
            <w:r w:rsidR="00C52109">
              <w:t>DH expectations.</w:t>
            </w:r>
          </w:p>
          <w:p w14:paraId="629ABE3D" w14:textId="3689793C" w:rsidR="00E837A6" w:rsidRDefault="00E837A6" w:rsidP="0041049D">
            <w:r>
              <w:t>Increase in performance rate from 35% to 50% m</w:t>
            </w:r>
            <w:r w:rsidR="008D65DE">
              <w:t>inimum success rate at 4 weeks (national average now 49%)</w:t>
            </w:r>
            <w:r w:rsidR="0043358C">
              <w:t>.</w:t>
            </w:r>
          </w:p>
          <w:p w14:paraId="51BF98FA" w14:textId="2C5AE82B" w:rsidR="00E837A6" w:rsidRDefault="00E837A6" w:rsidP="0043358C">
            <w:pPr>
              <w:shd w:val="clear" w:color="auto" w:fill="00B050"/>
            </w:pPr>
            <w:r>
              <w:t>Enforcement of termination of contract if pharmacy falls under 40%</w:t>
            </w:r>
            <w:r w:rsidR="0043358C">
              <w:t xml:space="preserve"> success rate</w:t>
            </w:r>
            <w:r>
              <w:t xml:space="preserve"> in a quarter and does not achieve a minimum 5% improvement</w:t>
            </w:r>
            <w:r w:rsidR="0043358C">
              <w:t xml:space="preserve"> by</w:t>
            </w:r>
            <w:r>
              <w:t xml:space="preserve"> the </w:t>
            </w:r>
            <w:r w:rsidR="0043358C">
              <w:t>end of the following quarter &amp; achieve 50% success rate within 4 months after reasonable intervention unless there are exceptional circumstances.</w:t>
            </w:r>
          </w:p>
          <w:p w14:paraId="7D9097E7" w14:textId="7BDA37DF" w:rsidR="00863E4F" w:rsidRDefault="00473556" w:rsidP="0041049D">
            <w:r>
              <w:t>Minimum of 30% (reduced from 60%) of patients setting a quit date to complete an evaluation form.</w:t>
            </w:r>
          </w:p>
        </w:tc>
      </w:tr>
      <w:tr w:rsidR="00674853" w14:paraId="2A5BB2CC" w14:textId="77777777" w:rsidTr="00665D17">
        <w:trPr>
          <w:trHeight w:val="567"/>
        </w:trPr>
        <w:tc>
          <w:tcPr>
            <w:tcW w:w="250" w:type="dxa"/>
            <w:vAlign w:val="center"/>
          </w:tcPr>
          <w:p w14:paraId="0D79F913" w14:textId="65810F63" w:rsidR="00674853" w:rsidRDefault="00674853" w:rsidP="0053198F"/>
        </w:tc>
        <w:tc>
          <w:tcPr>
            <w:tcW w:w="8992" w:type="dxa"/>
            <w:gridSpan w:val="3"/>
            <w:vAlign w:val="center"/>
          </w:tcPr>
          <w:p w14:paraId="1B5516E3" w14:textId="77777777" w:rsidR="00674853" w:rsidRPr="0053198F" w:rsidRDefault="00674853" w:rsidP="004B0D0D">
            <w:pPr>
              <w:jc w:val="center"/>
              <w:rPr>
                <w:b/>
                <w:sz w:val="28"/>
                <w:szCs w:val="28"/>
              </w:rPr>
            </w:pPr>
            <w:r w:rsidRPr="0053198F">
              <w:rPr>
                <w:b/>
                <w:sz w:val="28"/>
                <w:szCs w:val="28"/>
              </w:rPr>
              <w:t>Service Delivery</w:t>
            </w:r>
          </w:p>
        </w:tc>
      </w:tr>
      <w:tr w:rsidR="00674853" w14:paraId="67E7670C" w14:textId="77777777" w:rsidTr="0043358C">
        <w:trPr>
          <w:trHeight w:val="629"/>
        </w:trPr>
        <w:tc>
          <w:tcPr>
            <w:tcW w:w="2733" w:type="dxa"/>
            <w:gridSpan w:val="3"/>
            <w:vAlign w:val="center"/>
          </w:tcPr>
          <w:p w14:paraId="1AE6F5A8" w14:textId="77777777" w:rsidR="00674853" w:rsidRDefault="00674853" w:rsidP="00EA3183">
            <w:r>
              <w:t>Are the performance measures reasonable and achievable?</w:t>
            </w:r>
          </w:p>
        </w:tc>
        <w:tc>
          <w:tcPr>
            <w:tcW w:w="6509" w:type="dxa"/>
            <w:tcBorders>
              <w:bottom w:val="single" w:sz="4" w:space="0" w:color="auto"/>
            </w:tcBorders>
            <w:shd w:val="clear" w:color="auto" w:fill="00B050"/>
          </w:tcPr>
          <w:p w14:paraId="06D60F87" w14:textId="77777777" w:rsidR="00E570BE" w:rsidRDefault="006C336D" w:rsidP="00E570BE">
            <w:r>
              <w:t>Yes</w:t>
            </w:r>
            <w:r w:rsidR="00C52109">
              <w:t>.</w:t>
            </w:r>
          </w:p>
          <w:p w14:paraId="6FD550E7" w14:textId="14DF04BB" w:rsidR="00C52109" w:rsidRDefault="0044282D" w:rsidP="0043358C">
            <w:pPr>
              <w:shd w:val="clear" w:color="auto" w:fill="FFC000"/>
            </w:pPr>
            <w:r>
              <w:t xml:space="preserve">Clients who are Pregnant women </w:t>
            </w:r>
            <w:r w:rsidR="00C52109">
              <w:t xml:space="preserve">must be </w:t>
            </w:r>
            <w:r w:rsidR="00110104">
              <w:t>referred</w:t>
            </w:r>
            <w:r w:rsidR="00C52109">
              <w:t xml:space="preserve"> to Quit4Life. *</w:t>
            </w:r>
          </w:p>
          <w:p w14:paraId="432F571C" w14:textId="7FC68511" w:rsidR="00C52109" w:rsidRDefault="0044282D" w:rsidP="0043358C">
            <w:pPr>
              <w:shd w:val="clear" w:color="auto" w:fill="FFC000"/>
            </w:pPr>
            <w:r>
              <w:t>C</w:t>
            </w:r>
            <w:r w:rsidR="00C52109">
              <w:t xml:space="preserve">lients with an SMI or 2 or more medical LTCs, </w:t>
            </w:r>
            <w:r>
              <w:t>must be offered a referral to</w:t>
            </w:r>
            <w:r w:rsidR="00C52109">
              <w:t xml:space="preserve"> Quit4Life. *</w:t>
            </w:r>
          </w:p>
          <w:p w14:paraId="53A479F4" w14:textId="29F9EB8B" w:rsidR="00863E4F" w:rsidRDefault="00C52109" w:rsidP="0043358C">
            <w:r>
              <w:t xml:space="preserve"> * Performance minimum of </w:t>
            </w:r>
            <w:r w:rsidR="0044282D">
              <w:t xml:space="preserve">ideally </w:t>
            </w:r>
            <w:r>
              <w:t xml:space="preserve">4 </w:t>
            </w:r>
            <w:r w:rsidR="0043358C">
              <w:t>patients seen</w:t>
            </w:r>
            <w:r>
              <w:t xml:space="preserve"> per month </w:t>
            </w:r>
            <w:r w:rsidR="0044282D">
              <w:t>who set a quit date unless locally agreed with Quit4Life,</w:t>
            </w:r>
            <w:r w:rsidR="00473556">
              <w:t xml:space="preserve"> otherwise service ‘may’ be terminated.</w:t>
            </w:r>
            <w:r w:rsidR="00F91483">
              <w:t xml:space="preserve"> </w:t>
            </w:r>
          </w:p>
        </w:tc>
      </w:tr>
      <w:tr w:rsidR="00674853" w14:paraId="63C6D57B" w14:textId="77777777" w:rsidTr="006C336D">
        <w:trPr>
          <w:trHeight w:val="944"/>
        </w:trPr>
        <w:tc>
          <w:tcPr>
            <w:tcW w:w="2733" w:type="dxa"/>
            <w:gridSpan w:val="3"/>
            <w:vAlign w:val="center"/>
          </w:tcPr>
          <w:p w14:paraId="3369164B" w14:textId="658D9C23" w:rsidR="00674853" w:rsidRDefault="00674853" w:rsidP="00EA3183">
            <w:r>
              <w:t>Is the administration proportional to size or service and remuneration?</w:t>
            </w:r>
          </w:p>
        </w:tc>
        <w:tc>
          <w:tcPr>
            <w:tcW w:w="6509" w:type="dxa"/>
            <w:tcBorders>
              <w:bottom w:val="single" w:sz="4" w:space="0" w:color="auto"/>
            </w:tcBorders>
            <w:shd w:val="clear" w:color="auto" w:fill="00B050"/>
          </w:tcPr>
          <w:p w14:paraId="378352D9" w14:textId="79BFF20D" w:rsidR="00674853" w:rsidRDefault="00B511A9" w:rsidP="005F25A9">
            <w:r>
              <w:t>Yes</w:t>
            </w:r>
            <w:r w:rsidR="001D07E9">
              <w:t xml:space="preserve">, </w:t>
            </w:r>
            <w:r w:rsidR="006C336D">
              <w:t>process is well established</w:t>
            </w:r>
            <w:r w:rsidR="001D07E9">
              <w:t xml:space="preserve">, </w:t>
            </w:r>
            <w:r w:rsidR="006C336D">
              <w:t>via QuitManager</w:t>
            </w:r>
            <w:r w:rsidR="00D16991">
              <w:t xml:space="preserve"> directly to Quit4Life. </w:t>
            </w:r>
          </w:p>
          <w:p w14:paraId="61891A67" w14:textId="293511AF" w:rsidR="00D16991" w:rsidRDefault="00D16991" w:rsidP="005F25A9">
            <w:r>
              <w:t>Invoices need sending once per month by post</w:t>
            </w:r>
            <w:r w:rsidR="006C336D">
              <w:t>.</w:t>
            </w:r>
          </w:p>
        </w:tc>
      </w:tr>
      <w:tr w:rsidR="00674853" w14:paraId="7D161ADB" w14:textId="77777777" w:rsidTr="00D16991">
        <w:trPr>
          <w:trHeight w:val="719"/>
        </w:trPr>
        <w:tc>
          <w:tcPr>
            <w:tcW w:w="2733" w:type="dxa"/>
            <w:gridSpan w:val="3"/>
            <w:vAlign w:val="center"/>
          </w:tcPr>
          <w:p w14:paraId="5DF8B762" w14:textId="440E20E1" w:rsidR="00674853" w:rsidRDefault="00674853" w:rsidP="00EA3183">
            <w:r>
              <w:t>Are any reporting systems suitable to all contractors?</w:t>
            </w:r>
          </w:p>
        </w:tc>
        <w:tc>
          <w:tcPr>
            <w:tcW w:w="6509" w:type="dxa"/>
            <w:shd w:val="clear" w:color="auto" w:fill="00B050"/>
          </w:tcPr>
          <w:p w14:paraId="29A0136E" w14:textId="6C4842B2" w:rsidR="00674853" w:rsidRDefault="00D16991" w:rsidP="00162552">
            <w:r>
              <w:t>Yes</w:t>
            </w:r>
          </w:p>
        </w:tc>
      </w:tr>
      <w:tr w:rsidR="00674853" w14:paraId="0A0C87A0" w14:textId="77777777" w:rsidTr="00863E4F">
        <w:trPr>
          <w:trHeight w:val="2807"/>
        </w:trPr>
        <w:tc>
          <w:tcPr>
            <w:tcW w:w="2733" w:type="dxa"/>
            <w:gridSpan w:val="3"/>
            <w:vAlign w:val="center"/>
          </w:tcPr>
          <w:p w14:paraId="541130BA" w14:textId="5D3E143E" w:rsidR="00674853" w:rsidRDefault="00674853" w:rsidP="00EA3183">
            <w:r>
              <w:t>Is the training required for the service reasonable? Consider accessibility to CPPE for non-pharmacist/technician staff.</w:t>
            </w:r>
          </w:p>
        </w:tc>
        <w:tc>
          <w:tcPr>
            <w:tcW w:w="6509" w:type="dxa"/>
            <w:tcBorders>
              <w:bottom w:val="single" w:sz="4" w:space="0" w:color="auto"/>
            </w:tcBorders>
            <w:shd w:val="clear" w:color="auto" w:fill="00B050"/>
          </w:tcPr>
          <w:p w14:paraId="5C494D7E" w14:textId="77777777" w:rsidR="006C336D" w:rsidRDefault="006C336D" w:rsidP="006C336D">
            <w:r>
              <w:t>Achievement of Quit4Life smoking cessation training, level 2 and refresher training completed every 12months.</w:t>
            </w:r>
          </w:p>
          <w:p w14:paraId="032EB571" w14:textId="5964F088" w:rsidR="006C336D" w:rsidRDefault="006C336D" w:rsidP="006C336D">
            <w:r>
              <w:t>Achievement of on-line NCSCT Stop Smoking Practitioner.</w:t>
            </w:r>
          </w:p>
          <w:p w14:paraId="31F35B49" w14:textId="77777777" w:rsidR="006C336D" w:rsidRDefault="006C336D" w:rsidP="006C336D">
            <w:r>
              <w:t>Achievement of NCSCT Mental Health training module.</w:t>
            </w:r>
          </w:p>
          <w:p w14:paraId="106C6661" w14:textId="77777777" w:rsidR="001D07E9" w:rsidRDefault="006C336D" w:rsidP="00E570BE">
            <w:pPr>
              <w:rPr>
                <w:rFonts w:cs="Arial"/>
              </w:rPr>
            </w:pPr>
            <w:r>
              <w:rPr>
                <w:rFonts w:cs="Arial"/>
              </w:rPr>
              <w:t>Attendance at regular 6 monthly update meetings required.</w:t>
            </w:r>
          </w:p>
          <w:p w14:paraId="26ACAA34" w14:textId="39509E63" w:rsidR="006C336D" w:rsidRDefault="006C336D" w:rsidP="0019387E">
            <w:pPr>
              <w:shd w:val="clear" w:color="auto" w:fill="FFC000"/>
              <w:rPr>
                <w:rFonts w:cs="Arial"/>
                <w:shd w:val="clear" w:color="auto" w:fill="FFC000"/>
              </w:rPr>
            </w:pPr>
            <w:r w:rsidRPr="006C336D">
              <w:rPr>
                <w:rFonts w:cs="Arial"/>
                <w:shd w:val="clear" w:color="auto" w:fill="FFC000"/>
              </w:rPr>
              <w:t xml:space="preserve">£250 charge maybe applied for additional training </w:t>
            </w:r>
            <w:r w:rsidR="00110104">
              <w:rPr>
                <w:rFonts w:cs="Arial"/>
                <w:shd w:val="clear" w:color="auto" w:fill="FFC000"/>
              </w:rPr>
              <w:t xml:space="preserve">required </w:t>
            </w:r>
            <w:r w:rsidRPr="006C336D">
              <w:rPr>
                <w:rFonts w:cs="Arial"/>
                <w:shd w:val="clear" w:color="auto" w:fill="FFC000"/>
              </w:rPr>
              <w:t xml:space="preserve">due to </w:t>
            </w:r>
            <w:r w:rsidR="00110104">
              <w:rPr>
                <w:rFonts w:cs="Arial"/>
                <w:shd w:val="clear" w:color="auto" w:fill="FFC000"/>
              </w:rPr>
              <w:t xml:space="preserve">an </w:t>
            </w:r>
            <w:r w:rsidRPr="006C336D">
              <w:rPr>
                <w:rFonts w:cs="Arial"/>
                <w:shd w:val="clear" w:color="auto" w:fill="FFC000"/>
              </w:rPr>
              <w:t xml:space="preserve">advisor being changed within </w:t>
            </w:r>
            <w:r w:rsidR="00CA7F1A">
              <w:rPr>
                <w:rFonts w:cs="Arial"/>
                <w:shd w:val="clear" w:color="auto" w:fill="FFC000"/>
              </w:rPr>
              <w:t>12 months of being trained</w:t>
            </w:r>
            <w:r w:rsidR="0060444E">
              <w:rPr>
                <w:rFonts w:cs="Arial"/>
                <w:shd w:val="clear" w:color="auto" w:fill="FFC000"/>
              </w:rPr>
              <w:t xml:space="preserve"> at a location.</w:t>
            </w:r>
            <w:r w:rsidR="00CA7F1A">
              <w:rPr>
                <w:rFonts w:cs="Arial"/>
                <w:shd w:val="clear" w:color="auto" w:fill="FFC000"/>
              </w:rPr>
              <w:t xml:space="preserve"> This is to encourage the pharmacy to carefully consider selection of proposed advisors.</w:t>
            </w:r>
          </w:p>
          <w:p w14:paraId="32874270" w14:textId="37553D1C" w:rsidR="00863E4F" w:rsidRPr="006C336D" w:rsidRDefault="00182655" w:rsidP="0060444E">
            <w:pPr>
              <w:rPr>
                <w:rFonts w:cs="Arial"/>
              </w:rPr>
            </w:pPr>
            <w:r>
              <w:rPr>
                <w:rFonts w:cs="Arial"/>
              </w:rPr>
              <w:t>P</w:t>
            </w:r>
            <w:r w:rsidR="00473556" w:rsidRPr="00182655">
              <w:rPr>
                <w:rFonts w:cs="Arial"/>
              </w:rPr>
              <w:t xml:space="preserve">eriod of </w:t>
            </w:r>
            <w:r>
              <w:rPr>
                <w:rFonts w:cs="Arial"/>
              </w:rPr>
              <w:t xml:space="preserve">‘learning in action’ </w:t>
            </w:r>
            <w:r w:rsidR="0060444E">
              <w:rPr>
                <w:rFonts w:cs="Arial"/>
              </w:rPr>
              <w:t>recommended</w:t>
            </w:r>
            <w:r w:rsidR="00473556" w:rsidRPr="00182655">
              <w:rPr>
                <w:rFonts w:cs="Arial"/>
              </w:rPr>
              <w:t xml:space="preserve"> </w:t>
            </w:r>
            <w:r>
              <w:rPr>
                <w:rFonts w:cs="Arial"/>
              </w:rPr>
              <w:t>to attend Quit4Life specialist sessions to shadow a Quit4Life advisor has now increased from 1 to 3</w:t>
            </w:r>
            <w:r w:rsidR="0060444E">
              <w:rPr>
                <w:rFonts w:cs="Arial"/>
              </w:rPr>
              <w:t xml:space="preserve">. Alternative shadowing or approved </w:t>
            </w:r>
            <w:r w:rsidR="0060444E">
              <w:t>written evidence of Health behavioural change skills and experience gained elsewhere is now accepted.</w:t>
            </w:r>
          </w:p>
        </w:tc>
      </w:tr>
      <w:tr w:rsidR="00674853" w14:paraId="21CF59AB" w14:textId="77777777" w:rsidTr="0019387E">
        <w:trPr>
          <w:trHeight w:val="1403"/>
        </w:trPr>
        <w:tc>
          <w:tcPr>
            <w:tcW w:w="2733" w:type="dxa"/>
            <w:gridSpan w:val="3"/>
            <w:vAlign w:val="center"/>
          </w:tcPr>
          <w:p w14:paraId="1DBBBCCD" w14:textId="7A9D8325" w:rsidR="00674853" w:rsidRDefault="00674853" w:rsidP="00EA3183">
            <w:r>
              <w:t>Does record keeping or sharing of information requirements meet current IG regulations.</w:t>
            </w:r>
          </w:p>
        </w:tc>
        <w:tc>
          <w:tcPr>
            <w:tcW w:w="6509" w:type="dxa"/>
            <w:shd w:val="clear" w:color="auto" w:fill="00B050"/>
          </w:tcPr>
          <w:p w14:paraId="799C789E" w14:textId="77777777" w:rsidR="00665D17" w:rsidRDefault="001D07E9" w:rsidP="00643981">
            <w:r>
              <w:t xml:space="preserve">Adherence with Data Protection Act must be achieved. </w:t>
            </w:r>
          </w:p>
          <w:p w14:paraId="4646B660" w14:textId="731B054E" w:rsidR="001D07E9" w:rsidRDefault="001D07E9" w:rsidP="00643981">
            <w:r>
              <w:t>Media request should be referred to SHFT Comms Dept.</w:t>
            </w:r>
          </w:p>
        </w:tc>
      </w:tr>
      <w:tr w:rsidR="00674853" w14:paraId="28C19656" w14:textId="77777777" w:rsidTr="00665D17">
        <w:trPr>
          <w:trHeight w:val="567"/>
        </w:trPr>
        <w:tc>
          <w:tcPr>
            <w:tcW w:w="250" w:type="dxa"/>
            <w:vAlign w:val="center"/>
          </w:tcPr>
          <w:p w14:paraId="2AAFB1F7" w14:textId="02CC4FB8" w:rsidR="00674853" w:rsidRPr="00EA3183" w:rsidRDefault="00674853" w:rsidP="00EA3183">
            <w:pPr>
              <w:jc w:val="center"/>
              <w:rPr>
                <w:sz w:val="28"/>
                <w:szCs w:val="28"/>
              </w:rPr>
            </w:pPr>
          </w:p>
        </w:tc>
        <w:tc>
          <w:tcPr>
            <w:tcW w:w="8992" w:type="dxa"/>
            <w:gridSpan w:val="3"/>
            <w:vAlign w:val="center"/>
          </w:tcPr>
          <w:p w14:paraId="314B1717" w14:textId="77777777" w:rsidR="00674853" w:rsidRPr="00EA3183" w:rsidRDefault="00674853" w:rsidP="00EA3183">
            <w:pPr>
              <w:jc w:val="center"/>
              <w:rPr>
                <w:b/>
                <w:sz w:val="28"/>
                <w:szCs w:val="28"/>
              </w:rPr>
            </w:pPr>
            <w:r w:rsidRPr="00EA3183">
              <w:rPr>
                <w:b/>
                <w:sz w:val="28"/>
                <w:szCs w:val="28"/>
              </w:rPr>
              <w:t>Miscellaneous Information</w:t>
            </w:r>
          </w:p>
        </w:tc>
      </w:tr>
      <w:tr w:rsidR="00674853" w14:paraId="06521961" w14:textId="77777777" w:rsidTr="0019387E">
        <w:trPr>
          <w:trHeight w:val="3896"/>
        </w:trPr>
        <w:tc>
          <w:tcPr>
            <w:tcW w:w="2733" w:type="dxa"/>
            <w:gridSpan w:val="3"/>
            <w:vAlign w:val="center"/>
          </w:tcPr>
          <w:p w14:paraId="25B137F0" w14:textId="77777777" w:rsidR="00674853" w:rsidRDefault="00674853" w:rsidP="00EA3183">
            <w:r>
              <w:t>Any other information specific to this service.</w:t>
            </w:r>
          </w:p>
        </w:tc>
        <w:tc>
          <w:tcPr>
            <w:tcW w:w="6509" w:type="dxa"/>
            <w:tcBorders>
              <w:bottom w:val="single" w:sz="4" w:space="0" w:color="auto"/>
            </w:tcBorders>
            <w:shd w:val="clear" w:color="auto" w:fill="FFC000"/>
          </w:tcPr>
          <w:p w14:paraId="556F2128" w14:textId="77777777" w:rsidR="009E0D09" w:rsidRDefault="009E0D09" w:rsidP="00162552"/>
          <w:p w14:paraId="0CF40D77" w14:textId="0CC81FC2" w:rsidR="00B95547" w:rsidRDefault="00B95547" w:rsidP="00162552">
            <w:r>
              <w:t xml:space="preserve">Heavy onus on </w:t>
            </w:r>
            <w:r w:rsidR="0060444E">
              <w:t>recommended</w:t>
            </w:r>
            <w:r>
              <w:t xml:space="preserve"> elements of training and perfo</w:t>
            </w:r>
            <w:r w:rsidR="0060444E">
              <w:t>rmance make this service Amber.</w:t>
            </w:r>
          </w:p>
          <w:p w14:paraId="0AE5A941" w14:textId="5A69A442" w:rsidR="00B95547" w:rsidRDefault="00B95547" w:rsidP="00162552">
            <w:r>
              <w:t>This is not by poor service design, rather that the service is only s</w:t>
            </w:r>
            <w:r w:rsidR="0060444E">
              <w:t>uitable to those pharmacies</w:t>
            </w:r>
            <w:r>
              <w:t xml:space="preserve"> confident of </w:t>
            </w:r>
            <w:r w:rsidRPr="00B95547">
              <w:rPr>
                <w:u w:val="single"/>
              </w:rPr>
              <w:t>achieving and maintaining</w:t>
            </w:r>
            <w:r>
              <w:t xml:space="preserve"> the high expectations of</w:t>
            </w:r>
            <w:r w:rsidR="0060444E">
              <w:t xml:space="preserve"> performance the service desires</w:t>
            </w:r>
            <w:r>
              <w:t>. There is a risk to pharmacies in missing target criteria and therefore</w:t>
            </w:r>
            <w:r w:rsidR="0060444E">
              <w:t xml:space="preserve"> possible</w:t>
            </w:r>
            <w:r>
              <w:t xml:space="preserve"> termination of the service, resulting in profit loss, due to heavy</w:t>
            </w:r>
            <w:r w:rsidR="0060444E">
              <w:t xml:space="preserve"> staff investment costs recommended</w:t>
            </w:r>
            <w:r>
              <w:t xml:space="preserve"> to participate in &amp;</w:t>
            </w:r>
            <w:r w:rsidR="0060444E">
              <w:t xml:space="preserve"> needed to maintain the service.</w:t>
            </w:r>
          </w:p>
          <w:p w14:paraId="0387A859" w14:textId="3D96E73D" w:rsidR="00B95547" w:rsidRDefault="00B95547" w:rsidP="00162552">
            <w:r>
              <w:t xml:space="preserve">A sharing of these costs would make the service more attractive to pharmacies to continue providing (see </w:t>
            </w:r>
            <w:r w:rsidR="007F2BD2">
              <w:t xml:space="preserve">staff </w:t>
            </w:r>
            <w:r>
              <w:t xml:space="preserve">backfill </w:t>
            </w:r>
            <w:r w:rsidR="007F2BD2">
              <w:t xml:space="preserve">costs for attending training sessions </w:t>
            </w:r>
            <w:r>
              <w:t>recomm</w:t>
            </w:r>
            <w:r w:rsidR="007F2BD2">
              <w:t>endation</w:t>
            </w:r>
            <w:r>
              <w:t xml:space="preserve"> above in Response Summary Feedback)</w:t>
            </w:r>
          </w:p>
        </w:tc>
      </w:tr>
      <w:tr w:rsidR="00674853" w14:paraId="755419F6" w14:textId="77777777" w:rsidTr="00E00976">
        <w:trPr>
          <w:trHeight w:val="575"/>
        </w:trPr>
        <w:tc>
          <w:tcPr>
            <w:tcW w:w="2733" w:type="dxa"/>
            <w:gridSpan w:val="3"/>
            <w:vAlign w:val="center"/>
          </w:tcPr>
          <w:p w14:paraId="39A3225C" w14:textId="0DBB6675" w:rsidR="00674853" w:rsidRDefault="00674853" w:rsidP="00E8310F">
            <w:r>
              <w:t>Suggested RAG Rating</w:t>
            </w:r>
          </w:p>
        </w:tc>
        <w:tc>
          <w:tcPr>
            <w:tcW w:w="6509" w:type="dxa"/>
            <w:shd w:val="clear" w:color="auto" w:fill="FFC000"/>
          </w:tcPr>
          <w:p w14:paraId="4269F11F" w14:textId="49538A8A" w:rsidR="00674853" w:rsidRPr="00963275" w:rsidRDefault="00674853">
            <w:pPr>
              <w:rPr>
                <w:color w:val="FFC000"/>
              </w:rPr>
            </w:pPr>
          </w:p>
        </w:tc>
      </w:tr>
    </w:tbl>
    <w:p w14:paraId="3674DB31" w14:textId="77777777" w:rsidR="00835D38" w:rsidRDefault="00835D38"/>
    <w:sectPr w:rsidR="00835D38" w:rsidSect="00E8310F">
      <w:headerReference w:type="default" r:id="rId9"/>
      <w:pgSz w:w="11906" w:h="16838"/>
      <w:pgMar w:top="1926"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2D7649" w14:textId="77777777" w:rsidR="00295670" w:rsidRDefault="00295670" w:rsidP="00976447">
      <w:pPr>
        <w:spacing w:after="0" w:line="240" w:lineRule="auto"/>
      </w:pPr>
      <w:r>
        <w:separator/>
      </w:r>
    </w:p>
  </w:endnote>
  <w:endnote w:type="continuationSeparator" w:id="0">
    <w:p w14:paraId="774729FC" w14:textId="77777777" w:rsidR="00295670" w:rsidRDefault="00295670" w:rsidP="009764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93B34E" w14:textId="77777777" w:rsidR="00295670" w:rsidRDefault="00295670" w:rsidP="00976447">
      <w:pPr>
        <w:spacing w:after="0" w:line="240" w:lineRule="auto"/>
      </w:pPr>
      <w:r>
        <w:separator/>
      </w:r>
    </w:p>
  </w:footnote>
  <w:footnote w:type="continuationSeparator" w:id="0">
    <w:p w14:paraId="3E138070" w14:textId="77777777" w:rsidR="00295670" w:rsidRDefault="00295670" w:rsidP="0097644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32"/>
        <w:szCs w:val="32"/>
      </w:rPr>
      <w:alias w:val="Title"/>
      <w:id w:val="621175081"/>
      <w:placeholder>
        <w:docPart w:val="D54CA62D9F744CB992589E1994BC4B52"/>
      </w:placeholder>
      <w:dataBinding w:prefixMappings="xmlns:ns0='http://schemas.openxmlformats.org/package/2006/metadata/core-properties' xmlns:ns1='http://purl.org/dc/elements/1.1/'" w:xpath="/ns0:coreProperties[1]/ns1:title[1]" w:storeItemID="{6C3C8BC8-F283-45AE-878A-BAB7291924A1}"/>
      <w:text/>
    </w:sdtPr>
    <w:sdtEndPr/>
    <w:sdtContent>
      <w:p w14:paraId="2E1E0C89" w14:textId="77777777" w:rsidR="00976447" w:rsidRDefault="00976447">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Hants &amp; IOW LPC Service Specification Checklist</w:t>
        </w:r>
      </w:p>
    </w:sdtContent>
  </w:sdt>
  <w:p w14:paraId="51D3A63B" w14:textId="77777777" w:rsidR="00976447" w:rsidRDefault="0097644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CE4A97"/>
    <w:multiLevelType w:val="hybridMultilevel"/>
    <w:tmpl w:val="45649796"/>
    <w:lvl w:ilvl="0" w:tplc="39AE1D1C">
      <w:start w:val="4"/>
      <w:numFmt w:val="bullet"/>
      <w:lvlText w:val=""/>
      <w:lvlJc w:val="left"/>
      <w:pPr>
        <w:ind w:left="400" w:hanging="360"/>
      </w:pPr>
      <w:rPr>
        <w:rFonts w:ascii="Symbol" w:eastAsiaTheme="minorHAnsi" w:hAnsi="Symbol" w:cstheme="minorBidi" w:hint="default"/>
      </w:rPr>
    </w:lvl>
    <w:lvl w:ilvl="1" w:tplc="08090003" w:tentative="1">
      <w:start w:val="1"/>
      <w:numFmt w:val="bullet"/>
      <w:lvlText w:val="o"/>
      <w:lvlJc w:val="left"/>
      <w:pPr>
        <w:ind w:left="1120" w:hanging="360"/>
      </w:pPr>
      <w:rPr>
        <w:rFonts w:ascii="Courier New" w:hAnsi="Courier New" w:cs="Courier New" w:hint="default"/>
      </w:rPr>
    </w:lvl>
    <w:lvl w:ilvl="2" w:tplc="08090005" w:tentative="1">
      <w:start w:val="1"/>
      <w:numFmt w:val="bullet"/>
      <w:lvlText w:val=""/>
      <w:lvlJc w:val="left"/>
      <w:pPr>
        <w:ind w:left="1840" w:hanging="360"/>
      </w:pPr>
      <w:rPr>
        <w:rFonts w:ascii="Wingdings" w:hAnsi="Wingdings" w:hint="default"/>
      </w:rPr>
    </w:lvl>
    <w:lvl w:ilvl="3" w:tplc="08090001" w:tentative="1">
      <w:start w:val="1"/>
      <w:numFmt w:val="bullet"/>
      <w:lvlText w:val=""/>
      <w:lvlJc w:val="left"/>
      <w:pPr>
        <w:ind w:left="2560" w:hanging="360"/>
      </w:pPr>
      <w:rPr>
        <w:rFonts w:ascii="Symbol" w:hAnsi="Symbol" w:hint="default"/>
      </w:rPr>
    </w:lvl>
    <w:lvl w:ilvl="4" w:tplc="08090003" w:tentative="1">
      <w:start w:val="1"/>
      <w:numFmt w:val="bullet"/>
      <w:lvlText w:val="o"/>
      <w:lvlJc w:val="left"/>
      <w:pPr>
        <w:ind w:left="3280" w:hanging="360"/>
      </w:pPr>
      <w:rPr>
        <w:rFonts w:ascii="Courier New" w:hAnsi="Courier New" w:cs="Courier New" w:hint="default"/>
      </w:rPr>
    </w:lvl>
    <w:lvl w:ilvl="5" w:tplc="08090005" w:tentative="1">
      <w:start w:val="1"/>
      <w:numFmt w:val="bullet"/>
      <w:lvlText w:val=""/>
      <w:lvlJc w:val="left"/>
      <w:pPr>
        <w:ind w:left="4000" w:hanging="360"/>
      </w:pPr>
      <w:rPr>
        <w:rFonts w:ascii="Wingdings" w:hAnsi="Wingdings" w:hint="default"/>
      </w:rPr>
    </w:lvl>
    <w:lvl w:ilvl="6" w:tplc="08090001" w:tentative="1">
      <w:start w:val="1"/>
      <w:numFmt w:val="bullet"/>
      <w:lvlText w:val=""/>
      <w:lvlJc w:val="left"/>
      <w:pPr>
        <w:ind w:left="4720" w:hanging="360"/>
      </w:pPr>
      <w:rPr>
        <w:rFonts w:ascii="Symbol" w:hAnsi="Symbol" w:hint="default"/>
      </w:rPr>
    </w:lvl>
    <w:lvl w:ilvl="7" w:tplc="08090003" w:tentative="1">
      <w:start w:val="1"/>
      <w:numFmt w:val="bullet"/>
      <w:lvlText w:val="o"/>
      <w:lvlJc w:val="left"/>
      <w:pPr>
        <w:ind w:left="5440" w:hanging="360"/>
      </w:pPr>
      <w:rPr>
        <w:rFonts w:ascii="Courier New" w:hAnsi="Courier New" w:cs="Courier New" w:hint="default"/>
      </w:rPr>
    </w:lvl>
    <w:lvl w:ilvl="8" w:tplc="08090005" w:tentative="1">
      <w:start w:val="1"/>
      <w:numFmt w:val="bullet"/>
      <w:lvlText w:val=""/>
      <w:lvlJc w:val="left"/>
      <w:pPr>
        <w:ind w:left="6160" w:hanging="360"/>
      </w:pPr>
      <w:rPr>
        <w:rFonts w:ascii="Wingdings" w:hAnsi="Wingdings" w:hint="default"/>
      </w:rPr>
    </w:lvl>
  </w:abstractNum>
  <w:abstractNum w:abstractNumId="1">
    <w:nsid w:val="0DE12694"/>
    <w:multiLevelType w:val="hybridMultilevel"/>
    <w:tmpl w:val="9AEAB01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57906F26"/>
    <w:multiLevelType w:val="hybridMultilevel"/>
    <w:tmpl w:val="0CB24B8A"/>
    <w:lvl w:ilvl="0" w:tplc="869A5226">
      <w:start w:val="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55C4B67"/>
    <w:multiLevelType w:val="hybridMultilevel"/>
    <w:tmpl w:val="FE8602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11D2463"/>
    <w:multiLevelType w:val="hybridMultilevel"/>
    <w:tmpl w:val="34AE7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447"/>
    <w:rsid w:val="000321D1"/>
    <w:rsid w:val="0006071C"/>
    <w:rsid w:val="000A34AA"/>
    <w:rsid w:val="000D51A7"/>
    <w:rsid w:val="000D6178"/>
    <w:rsid w:val="00110104"/>
    <w:rsid w:val="001535B4"/>
    <w:rsid w:val="001608D6"/>
    <w:rsid w:val="00162552"/>
    <w:rsid w:val="00182655"/>
    <w:rsid w:val="0019387E"/>
    <w:rsid w:val="001D07E9"/>
    <w:rsid w:val="001F617C"/>
    <w:rsid w:val="001F7DA1"/>
    <w:rsid w:val="00244002"/>
    <w:rsid w:val="00251B58"/>
    <w:rsid w:val="00295670"/>
    <w:rsid w:val="002A4146"/>
    <w:rsid w:val="00347EEF"/>
    <w:rsid w:val="003603FE"/>
    <w:rsid w:val="003E040F"/>
    <w:rsid w:val="0041049D"/>
    <w:rsid w:val="0043358C"/>
    <w:rsid w:val="0044282D"/>
    <w:rsid w:val="004461F3"/>
    <w:rsid w:val="00457BD8"/>
    <w:rsid w:val="00460CB9"/>
    <w:rsid w:val="00473556"/>
    <w:rsid w:val="004A4DA0"/>
    <w:rsid w:val="004B0D0D"/>
    <w:rsid w:val="004E0D78"/>
    <w:rsid w:val="0051619F"/>
    <w:rsid w:val="0053198F"/>
    <w:rsid w:val="005622DD"/>
    <w:rsid w:val="005859B7"/>
    <w:rsid w:val="005A1E13"/>
    <w:rsid w:val="005F25A9"/>
    <w:rsid w:val="0060444E"/>
    <w:rsid w:val="006304C6"/>
    <w:rsid w:val="00643981"/>
    <w:rsid w:val="00665D17"/>
    <w:rsid w:val="00665FF5"/>
    <w:rsid w:val="00674853"/>
    <w:rsid w:val="00685EB3"/>
    <w:rsid w:val="00691F5C"/>
    <w:rsid w:val="00697410"/>
    <w:rsid w:val="006A4876"/>
    <w:rsid w:val="006B2BB8"/>
    <w:rsid w:val="006C336D"/>
    <w:rsid w:val="006D027E"/>
    <w:rsid w:val="007037AF"/>
    <w:rsid w:val="00737CD5"/>
    <w:rsid w:val="00771CB7"/>
    <w:rsid w:val="007B09B5"/>
    <w:rsid w:val="007D2157"/>
    <w:rsid w:val="007D6864"/>
    <w:rsid w:val="007E0BB9"/>
    <w:rsid w:val="007F001C"/>
    <w:rsid w:val="007F2BD2"/>
    <w:rsid w:val="007F6D2B"/>
    <w:rsid w:val="008317E9"/>
    <w:rsid w:val="00835D38"/>
    <w:rsid w:val="00862910"/>
    <w:rsid w:val="00863E4F"/>
    <w:rsid w:val="008A3C57"/>
    <w:rsid w:val="008D65DE"/>
    <w:rsid w:val="00935A10"/>
    <w:rsid w:val="00963275"/>
    <w:rsid w:val="00976447"/>
    <w:rsid w:val="00996E1D"/>
    <w:rsid w:val="009A4336"/>
    <w:rsid w:val="009E0D09"/>
    <w:rsid w:val="00A106BA"/>
    <w:rsid w:val="00A2379B"/>
    <w:rsid w:val="00A46B9D"/>
    <w:rsid w:val="00A60403"/>
    <w:rsid w:val="00A61907"/>
    <w:rsid w:val="00A70906"/>
    <w:rsid w:val="00A81782"/>
    <w:rsid w:val="00A8629B"/>
    <w:rsid w:val="00AC2ACA"/>
    <w:rsid w:val="00AC31A4"/>
    <w:rsid w:val="00AF2E5C"/>
    <w:rsid w:val="00B27B12"/>
    <w:rsid w:val="00B3219E"/>
    <w:rsid w:val="00B511A9"/>
    <w:rsid w:val="00B95547"/>
    <w:rsid w:val="00BC1A7F"/>
    <w:rsid w:val="00BD3681"/>
    <w:rsid w:val="00C52109"/>
    <w:rsid w:val="00C7023A"/>
    <w:rsid w:val="00C8050F"/>
    <w:rsid w:val="00CA7F1A"/>
    <w:rsid w:val="00CE5827"/>
    <w:rsid w:val="00CF09FC"/>
    <w:rsid w:val="00D01E8F"/>
    <w:rsid w:val="00D16991"/>
    <w:rsid w:val="00D3035E"/>
    <w:rsid w:val="00D62F68"/>
    <w:rsid w:val="00D93053"/>
    <w:rsid w:val="00DA6A3F"/>
    <w:rsid w:val="00DB49B7"/>
    <w:rsid w:val="00DC12E0"/>
    <w:rsid w:val="00DF29B8"/>
    <w:rsid w:val="00E00976"/>
    <w:rsid w:val="00E12F94"/>
    <w:rsid w:val="00E220A4"/>
    <w:rsid w:val="00E3057D"/>
    <w:rsid w:val="00E46D93"/>
    <w:rsid w:val="00E570BE"/>
    <w:rsid w:val="00E8310F"/>
    <w:rsid w:val="00E837A6"/>
    <w:rsid w:val="00EA3183"/>
    <w:rsid w:val="00EA42B3"/>
    <w:rsid w:val="00EC0291"/>
    <w:rsid w:val="00ED6DC6"/>
    <w:rsid w:val="00F02A57"/>
    <w:rsid w:val="00F36A8C"/>
    <w:rsid w:val="00F46C00"/>
    <w:rsid w:val="00F91483"/>
    <w:rsid w:val="00F91BB1"/>
    <w:rsid w:val="00FA5B9C"/>
    <w:rsid w:val="00FB3E52"/>
    <w:rsid w:val="00FE6523"/>
    <w:rsid w:val="00FE67D6"/>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563E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35D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64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6447"/>
  </w:style>
  <w:style w:type="paragraph" w:styleId="Footer">
    <w:name w:val="footer"/>
    <w:basedOn w:val="Normal"/>
    <w:link w:val="FooterChar"/>
    <w:uiPriority w:val="99"/>
    <w:semiHidden/>
    <w:unhideWhenUsed/>
    <w:rsid w:val="0097644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76447"/>
  </w:style>
  <w:style w:type="paragraph" w:styleId="BalloonText">
    <w:name w:val="Balloon Text"/>
    <w:basedOn w:val="Normal"/>
    <w:link w:val="BalloonTextChar"/>
    <w:uiPriority w:val="99"/>
    <w:semiHidden/>
    <w:unhideWhenUsed/>
    <w:rsid w:val="009764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6447"/>
    <w:rPr>
      <w:rFonts w:ascii="Tahoma" w:hAnsi="Tahoma" w:cs="Tahoma"/>
      <w:sz w:val="16"/>
      <w:szCs w:val="16"/>
    </w:rPr>
  </w:style>
  <w:style w:type="table" w:styleId="TableGrid">
    <w:name w:val="Table Grid"/>
    <w:basedOn w:val="TableNormal"/>
    <w:uiPriority w:val="59"/>
    <w:rsid w:val="00460C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A6A3F"/>
    <w:rPr>
      <w:color w:val="0000FF" w:themeColor="hyperlink"/>
      <w:u w:val="single"/>
    </w:rPr>
  </w:style>
  <w:style w:type="character" w:styleId="FollowedHyperlink">
    <w:name w:val="FollowedHyperlink"/>
    <w:basedOn w:val="DefaultParagraphFont"/>
    <w:uiPriority w:val="99"/>
    <w:semiHidden/>
    <w:unhideWhenUsed/>
    <w:rsid w:val="00DA6A3F"/>
    <w:rPr>
      <w:color w:val="800080" w:themeColor="followedHyperlink"/>
      <w:u w:val="single"/>
    </w:rPr>
  </w:style>
  <w:style w:type="paragraph" w:styleId="NoSpacing">
    <w:name w:val="No Spacing"/>
    <w:uiPriority w:val="1"/>
    <w:qFormat/>
    <w:rsid w:val="00B3219E"/>
    <w:pPr>
      <w:spacing w:after="0" w:line="240" w:lineRule="auto"/>
    </w:pPr>
  </w:style>
  <w:style w:type="paragraph" w:styleId="ListParagraph">
    <w:name w:val="List Paragraph"/>
    <w:basedOn w:val="Normal"/>
    <w:uiPriority w:val="34"/>
    <w:qFormat/>
    <w:rsid w:val="00EA42B3"/>
    <w:pPr>
      <w:ind w:left="720"/>
      <w:contextualSpacing/>
    </w:pPr>
  </w:style>
  <w:style w:type="paragraph" w:styleId="CommentText">
    <w:name w:val="annotation text"/>
    <w:basedOn w:val="Normal"/>
    <w:link w:val="CommentTextChar"/>
    <w:semiHidden/>
    <w:rsid w:val="000321D1"/>
    <w:pPr>
      <w:spacing w:after="0" w:line="240" w:lineRule="auto"/>
    </w:pPr>
    <w:rPr>
      <w:rFonts w:ascii="Arial" w:eastAsia="Times New Roman" w:hAnsi="Arial" w:cs="Arial"/>
      <w:szCs w:val="20"/>
    </w:rPr>
  </w:style>
  <w:style w:type="character" w:customStyle="1" w:styleId="CommentTextChar">
    <w:name w:val="Comment Text Char"/>
    <w:basedOn w:val="DefaultParagraphFont"/>
    <w:link w:val="CommentText"/>
    <w:semiHidden/>
    <w:rsid w:val="000321D1"/>
    <w:rPr>
      <w:rFonts w:ascii="Arial" w:eastAsia="Times New Roman" w:hAnsi="Arial" w:cs="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richard.buxton@hampshirelpc.org.uk" TargetMode="External"/><Relationship Id="rId9" Type="http://schemas.openxmlformats.org/officeDocument/2006/relationships/header" Target="header1.xml"/><Relationship Id="rId1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54CA62D9F744CB992589E1994BC4B52"/>
        <w:category>
          <w:name w:val="General"/>
          <w:gallery w:val="placeholder"/>
        </w:category>
        <w:types>
          <w:type w:val="bbPlcHdr"/>
        </w:types>
        <w:behaviors>
          <w:behavior w:val="content"/>
        </w:behaviors>
        <w:guid w:val="{28F13A55-E602-4139-B0C5-0CEF0E01705F}"/>
      </w:docPartPr>
      <w:docPartBody>
        <w:p w:rsidR="001518A5" w:rsidRDefault="006C29D5" w:rsidP="006C29D5">
          <w:pPr>
            <w:pStyle w:val="D54CA62D9F744CB992589E1994BC4B52"/>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6C29D5"/>
    <w:rsid w:val="001518A5"/>
    <w:rsid w:val="001B0EF4"/>
    <w:rsid w:val="00224C8A"/>
    <w:rsid w:val="00225922"/>
    <w:rsid w:val="0022656D"/>
    <w:rsid w:val="00330D17"/>
    <w:rsid w:val="0037538B"/>
    <w:rsid w:val="004F6D94"/>
    <w:rsid w:val="00611F4C"/>
    <w:rsid w:val="00662075"/>
    <w:rsid w:val="006903CA"/>
    <w:rsid w:val="006C29D5"/>
    <w:rsid w:val="00814374"/>
    <w:rsid w:val="00920ADB"/>
    <w:rsid w:val="009C08D5"/>
    <w:rsid w:val="00A07C4E"/>
    <w:rsid w:val="00A9210F"/>
    <w:rsid w:val="00AA3A42"/>
    <w:rsid w:val="00BE79E2"/>
    <w:rsid w:val="00D06861"/>
    <w:rsid w:val="00DC0BEA"/>
    <w:rsid w:val="00DD7FBC"/>
    <w:rsid w:val="00E7365B"/>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518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54CA62D9F744CB992589E1994BC4B52">
    <w:name w:val="D54CA62D9F744CB992589E1994BC4B52"/>
    <w:rsid w:val="006C29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E046260-81E6-4F42-B061-1DECEEADB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5</Pages>
  <Words>1647</Words>
  <Characters>9393</Characters>
  <Application>Microsoft Macintosh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Hants &amp; IOW LPC Service Specification Checklist</vt:lpstr>
    </vt:vector>
  </TitlesOfParts>
  <Company>Rowlands Pharmacy</Company>
  <LinksUpToDate>false</LinksUpToDate>
  <CharactersWithSpaces>11018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Hants &amp; IOW LPC Service Specification Checklist</dc:title>
  <dc:subject/>
  <dc:creator>Retail IT</dc:creator>
  <cp:keywords/>
  <dc:description/>
  <cp:lastModifiedBy>Richard Buxton</cp:lastModifiedBy>
  <cp:revision>5</cp:revision>
  <dcterms:created xsi:type="dcterms:W3CDTF">2017-02-22T18:54:00Z</dcterms:created>
  <dcterms:modified xsi:type="dcterms:W3CDTF">2017-03-03T13:10:00Z</dcterms:modified>
</cp:coreProperties>
</file>