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3F2B7E" w14:textId="77777777" w:rsidR="00057163" w:rsidRDefault="00057163" w:rsidP="002E42BB">
      <w:pPr>
        <w:jc w:val="left"/>
      </w:pPr>
      <w:bookmarkStart w:id="0" w:name="_GoBack"/>
      <w:bookmarkEnd w:id="0"/>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Schedule 2A Service Specification"/>
      </w:tblPr>
      <w:tblGrid>
        <w:gridCol w:w="3289"/>
        <w:gridCol w:w="6458"/>
      </w:tblGrid>
      <w:tr w:rsidR="00172D8B" w:rsidRPr="00DF4267" w14:paraId="72DB4519" w14:textId="77777777" w:rsidTr="009517E9">
        <w:tc>
          <w:tcPr>
            <w:tcW w:w="3289" w:type="dxa"/>
            <w:tcBorders>
              <w:top w:val="single" w:sz="4" w:space="0" w:color="auto"/>
            </w:tcBorders>
            <w:shd w:val="clear" w:color="auto" w:fill="auto"/>
          </w:tcPr>
          <w:p w14:paraId="06744616" w14:textId="77777777" w:rsidR="00172D8B" w:rsidRPr="00FB35CE" w:rsidRDefault="00172D8B" w:rsidP="004C2506">
            <w:pPr>
              <w:spacing w:after="0" w:line="360" w:lineRule="auto"/>
              <w:rPr>
                <w:rFonts w:cs="Arial"/>
                <w:b/>
              </w:rPr>
            </w:pPr>
            <w:r w:rsidRPr="00FB35CE">
              <w:rPr>
                <w:rFonts w:cs="Arial"/>
                <w:b/>
              </w:rPr>
              <w:t>Service Specification No.</w:t>
            </w:r>
          </w:p>
        </w:tc>
        <w:tc>
          <w:tcPr>
            <w:tcW w:w="6458" w:type="dxa"/>
            <w:tcBorders>
              <w:top w:val="single" w:sz="4" w:space="0" w:color="auto"/>
            </w:tcBorders>
            <w:shd w:val="clear" w:color="auto" w:fill="auto"/>
          </w:tcPr>
          <w:p w14:paraId="35B16E25" w14:textId="77777777" w:rsidR="00172D8B" w:rsidRPr="009E32AC" w:rsidRDefault="00172D8B" w:rsidP="004C2506">
            <w:pPr>
              <w:spacing w:after="0"/>
              <w:rPr>
                <w:rFonts w:cs="Arial"/>
                <w:b/>
              </w:rPr>
            </w:pPr>
            <w:r w:rsidRPr="009E32AC">
              <w:rPr>
                <w:rFonts w:cs="Arial"/>
                <w:b/>
              </w:rPr>
              <w:t>001</w:t>
            </w:r>
          </w:p>
        </w:tc>
      </w:tr>
      <w:tr w:rsidR="00172D8B" w:rsidRPr="00DF4267" w14:paraId="3FE747BB" w14:textId="77777777" w:rsidTr="009517E9">
        <w:tc>
          <w:tcPr>
            <w:tcW w:w="3289" w:type="dxa"/>
            <w:shd w:val="clear" w:color="auto" w:fill="auto"/>
          </w:tcPr>
          <w:p w14:paraId="60F6D11B" w14:textId="77777777" w:rsidR="00172D8B" w:rsidRPr="00FB35CE" w:rsidRDefault="00172D8B" w:rsidP="004C2506">
            <w:pPr>
              <w:spacing w:after="0" w:line="360" w:lineRule="auto"/>
              <w:rPr>
                <w:rFonts w:cs="Arial"/>
                <w:b/>
              </w:rPr>
            </w:pPr>
            <w:r w:rsidRPr="00FB35CE">
              <w:rPr>
                <w:rFonts w:cs="Arial"/>
                <w:b/>
              </w:rPr>
              <w:t>Service</w:t>
            </w:r>
          </w:p>
        </w:tc>
        <w:tc>
          <w:tcPr>
            <w:tcW w:w="6458" w:type="dxa"/>
            <w:shd w:val="clear" w:color="auto" w:fill="auto"/>
          </w:tcPr>
          <w:p w14:paraId="77C0F0EA" w14:textId="77777777" w:rsidR="00172D8B" w:rsidRPr="009E32AC" w:rsidRDefault="00172D8B" w:rsidP="004C2506">
            <w:pPr>
              <w:spacing w:after="0"/>
              <w:rPr>
                <w:rFonts w:cs="Arial"/>
                <w:b/>
              </w:rPr>
            </w:pPr>
            <w:r w:rsidRPr="009E32AC">
              <w:rPr>
                <w:rFonts w:cs="Arial"/>
                <w:b/>
              </w:rPr>
              <w:t>Pharmacy First</w:t>
            </w:r>
            <w:r>
              <w:rPr>
                <w:rFonts w:cs="Arial"/>
                <w:b/>
              </w:rPr>
              <w:t xml:space="preserve"> – Minor Ailments Service</w:t>
            </w:r>
          </w:p>
        </w:tc>
      </w:tr>
      <w:tr w:rsidR="00172D8B" w:rsidRPr="00DF4267" w14:paraId="705F175D" w14:textId="77777777" w:rsidTr="009517E9">
        <w:tc>
          <w:tcPr>
            <w:tcW w:w="3289" w:type="dxa"/>
            <w:shd w:val="clear" w:color="auto" w:fill="auto"/>
          </w:tcPr>
          <w:p w14:paraId="26B79B30" w14:textId="77777777" w:rsidR="00172D8B" w:rsidRPr="00FB35CE" w:rsidRDefault="00172D8B" w:rsidP="004C2506">
            <w:pPr>
              <w:spacing w:after="0" w:line="360" w:lineRule="auto"/>
              <w:rPr>
                <w:rFonts w:cs="Arial"/>
                <w:b/>
              </w:rPr>
            </w:pPr>
            <w:r w:rsidRPr="00FB35CE">
              <w:rPr>
                <w:rFonts w:cs="Arial"/>
                <w:b/>
              </w:rPr>
              <w:t>Commissioner Lead</w:t>
            </w:r>
          </w:p>
        </w:tc>
        <w:tc>
          <w:tcPr>
            <w:tcW w:w="6458" w:type="dxa"/>
            <w:shd w:val="clear" w:color="auto" w:fill="auto"/>
          </w:tcPr>
          <w:p w14:paraId="6CC95A80" w14:textId="77777777" w:rsidR="00172D8B" w:rsidRPr="006442AB" w:rsidRDefault="00172D8B" w:rsidP="004C2506">
            <w:pPr>
              <w:spacing w:after="0"/>
              <w:rPr>
                <w:rFonts w:cs="Arial"/>
                <w:b/>
                <w:bCs/>
                <w:lang w:val="en-GB"/>
              </w:rPr>
            </w:pPr>
            <w:r w:rsidRPr="006442AB">
              <w:rPr>
                <w:rFonts w:cs="Arial"/>
                <w:b/>
                <w:bCs/>
                <w:lang w:val="en-GB"/>
              </w:rPr>
              <w:t>Tracy Savage</w:t>
            </w:r>
          </w:p>
          <w:p w14:paraId="03A1C715" w14:textId="77777777" w:rsidR="00172D8B" w:rsidRPr="00030034" w:rsidRDefault="00172D8B" w:rsidP="00463FC5">
            <w:pPr>
              <w:rPr>
                <w:rFonts w:cs="Arial"/>
              </w:rPr>
            </w:pPr>
            <w:r>
              <w:rPr>
                <w:rFonts w:cs="Arial"/>
              </w:rPr>
              <w:t>Locality</w:t>
            </w:r>
            <w:r w:rsidRPr="00422D1D">
              <w:rPr>
                <w:rFonts w:cs="Arial"/>
              </w:rPr>
              <w:t xml:space="preserve"> Director and Head of Primary Care and Medicines Optimisation</w:t>
            </w:r>
          </w:p>
        </w:tc>
      </w:tr>
      <w:tr w:rsidR="00172D8B" w:rsidRPr="00DF4267" w14:paraId="31D1C5A9" w14:textId="77777777" w:rsidTr="009517E9">
        <w:tc>
          <w:tcPr>
            <w:tcW w:w="3289" w:type="dxa"/>
            <w:shd w:val="clear" w:color="auto" w:fill="auto"/>
          </w:tcPr>
          <w:p w14:paraId="0B104778" w14:textId="77777777" w:rsidR="00172D8B" w:rsidRPr="00FB35CE" w:rsidRDefault="00172D8B" w:rsidP="004C2506">
            <w:pPr>
              <w:spacing w:after="0" w:line="360" w:lineRule="auto"/>
              <w:rPr>
                <w:rFonts w:cs="Arial"/>
                <w:b/>
              </w:rPr>
            </w:pPr>
            <w:r w:rsidRPr="00FB35CE">
              <w:rPr>
                <w:rFonts w:cs="Arial"/>
                <w:b/>
              </w:rPr>
              <w:t>Provider Lead</w:t>
            </w:r>
          </w:p>
        </w:tc>
        <w:tc>
          <w:tcPr>
            <w:tcW w:w="6458" w:type="dxa"/>
            <w:shd w:val="clear" w:color="auto" w:fill="auto"/>
          </w:tcPr>
          <w:p w14:paraId="0A9283AA" w14:textId="77777777" w:rsidR="00172D8B" w:rsidRPr="006C3F1F" w:rsidRDefault="00172D8B" w:rsidP="004C2506">
            <w:pPr>
              <w:spacing w:line="360" w:lineRule="auto"/>
              <w:rPr>
                <w:rFonts w:cs="Arial"/>
                <w:highlight w:val="yellow"/>
              </w:rPr>
            </w:pPr>
          </w:p>
        </w:tc>
      </w:tr>
      <w:tr w:rsidR="00172D8B" w:rsidRPr="00DF4267" w14:paraId="7CB2E49F" w14:textId="77777777" w:rsidTr="009517E9">
        <w:tc>
          <w:tcPr>
            <w:tcW w:w="3289" w:type="dxa"/>
            <w:shd w:val="clear" w:color="auto" w:fill="auto"/>
          </w:tcPr>
          <w:p w14:paraId="5798A103" w14:textId="77777777" w:rsidR="00172D8B" w:rsidRPr="00FB35CE" w:rsidRDefault="00172D8B" w:rsidP="004C2506">
            <w:pPr>
              <w:spacing w:after="0" w:line="360" w:lineRule="auto"/>
              <w:rPr>
                <w:rFonts w:cs="Arial"/>
                <w:b/>
              </w:rPr>
            </w:pPr>
            <w:r w:rsidRPr="00FB35CE">
              <w:rPr>
                <w:rFonts w:cs="Arial"/>
                <w:b/>
              </w:rPr>
              <w:t>Period</w:t>
            </w:r>
          </w:p>
        </w:tc>
        <w:tc>
          <w:tcPr>
            <w:tcW w:w="6458" w:type="dxa"/>
            <w:shd w:val="clear" w:color="auto" w:fill="auto"/>
          </w:tcPr>
          <w:p w14:paraId="1565C7E9" w14:textId="77777777" w:rsidR="00172D8B" w:rsidRPr="00030034" w:rsidRDefault="00172D8B" w:rsidP="004C2506">
            <w:pPr>
              <w:spacing w:after="0"/>
              <w:rPr>
                <w:rFonts w:cs="Arial"/>
              </w:rPr>
            </w:pPr>
            <w:r w:rsidRPr="004F5166">
              <w:rPr>
                <w:rFonts w:cs="Arial"/>
                <w:lang w:val="en-GB"/>
              </w:rPr>
              <w:t>1 April 20</w:t>
            </w:r>
            <w:r>
              <w:rPr>
                <w:rFonts w:cs="Arial"/>
                <w:lang w:val="en-GB"/>
              </w:rPr>
              <w:t>20</w:t>
            </w:r>
            <w:r w:rsidR="001E593E">
              <w:rPr>
                <w:rFonts w:cs="Arial"/>
                <w:lang w:val="en-GB"/>
              </w:rPr>
              <w:t xml:space="preserve"> </w:t>
            </w:r>
            <w:r>
              <w:rPr>
                <w:rFonts w:cs="Arial"/>
                <w:lang w:val="en-GB"/>
              </w:rPr>
              <w:t>–</w:t>
            </w:r>
            <w:r w:rsidRPr="004F5166">
              <w:rPr>
                <w:rFonts w:cs="Arial"/>
                <w:lang w:val="en-GB"/>
              </w:rPr>
              <w:t xml:space="preserve"> 3</w:t>
            </w:r>
            <w:r>
              <w:rPr>
                <w:rFonts w:cs="Arial"/>
                <w:lang w:val="en-GB"/>
              </w:rPr>
              <w:t xml:space="preserve">1 </w:t>
            </w:r>
            <w:r w:rsidRPr="004F5166">
              <w:rPr>
                <w:rFonts w:cs="Arial"/>
                <w:lang w:val="en-GB"/>
              </w:rPr>
              <w:t>March 202</w:t>
            </w:r>
            <w:r>
              <w:rPr>
                <w:rFonts w:cs="Arial"/>
                <w:lang w:val="en-GB"/>
              </w:rPr>
              <w:t>2</w:t>
            </w:r>
          </w:p>
        </w:tc>
      </w:tr>
      <w:tr w:rsidR="00172D8B" w:rsidRPr="00DF4267" w14:paraId="5E7BF4DB" w14:textId="77777777" w:rsidTr="009517E9">
        <w:tc>
          <w:tcPr>
            <w:tcW w:w="3289" w:type="dxa"/>
            <w:shd w:val="clear" w:color="auto" w:fill="auto"/>
          </w:tcPr>
          <w:p w14:paraId="75F9A3B1" w14:textId="77777777" w:rsidR="00172D8B" w:rsidRPr="00FB35CE" w:rsidRDefault="00172D8B" w:rsidP="004C2506">
            <w:pPr>
              <w:spacing w:after="0" w:line="360" w:lineRule="auto"/>
              <w:rPr>
                <w:rFonts w:cs="Arial"/>
                <w:b/>
              </w:rPr>
            </w:pPr>
            <w:r w:rsidRPr="00FB35CE">
              <w:rPr>
                <w:rFonts w:cs="Arial"/>
                <w:b/>
              </w:rPr>
              <w:t>Date of Review</w:t>
            </w:r>
          </w:p>
        </w:tc>
        <w:tc>
          <w:tcPr>
            <w:tcW w:w="6458" w:type="dxa"/>
            <w:shd w:val="clear" w:color="auto" w:fill="auto"/>
          </w:tcPr>
          <w:p w14:paraId="0509A7ED" w14:textId="77777777" w:rsidR="00172D8B" w:rsidRPr="00030034" w:rsidRDefault="00172D8B" w:rsidP="004C2506">
            <w:pPr>
              <w:spacing w:after="0"/>
              <w:rPr>
                <w:rFonts w:cs="Arial"/>
              </w:rPr>
            </w:pPr>
            <w:r w:rsidRPr="00B256B3">
              <w:rPr>
                <w:rFonts w:cs="Arial"/>
              </w:rPr>
              <w:t>Annual</w:t>
            </w:r>
            <w:r>
              <w:rPr>
                <w:rFonts w:cs="Arial"/>
              </w:rPr>
              <w:t>ly</w:t>
            </w:r>
            <w:r w:rsidRPr="00B256B3">
              <w:rPr>
                <w:rFonts w:cs="Arial"/>
              </w:rPr>
              <w:t xml:space="preserve"> (or as determined by the </w:t>
            </w:r>
            <w:r>
              <w:rPr>
                <w:rFonts w:cs="Arial"/>
              </w:rPr>
              <w:t>C</w:t>
            </w:r>
            <w:r w:rsidRPr="00B256B3">
              <w:rPr>
                <w:rFonts w:cs="Arial"/>
              </w:rPr>
              <w:t>ommissioner)</w:t>
            </w:r>
          </w:p>
        </w:tc>
      </w:tr>
    </w:tbl>
    <w:p w14:paraId="546D5385" w14:textId="77777777" w:rsidR="00172D8B" w:rsidRDefault="00172D8B" w:rsidP="00172D8B">
      <w:pPr>
        <w:spacing w:after="0"/>
        <w:rPr>
          <w:rFonts w:cs="Arial"/>
        </w:rPr>
      </w:pPr>
      <w:r>
        <w:rPr>
          <w:rFonts w:cs="Arial"/>
        </w:rPr>
        <w:t xml:space="preserve"> </w:t>
      </w:r>
    </w:p>
    <w:tbl>
      <w:tblPr>
        <w:tblW w:w="52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Schedule 2A Service Specification"/>
      </w:tblPr>
      <w:tblGrid>
        <w:gridCol w:w="9747"/>
      </w:tblGrid>
      <w:tr w:rsidR="00172D8B" w:rsidRPr="00B5552C" w14:paraId="3F80F1F2" w14:textId="77777777" w:rsidTr="007F18D8">
        <w:tc>
          <w:tcPr>
            <w:tcW w:w="5000" w:type="pct"/>
            <w:shd w:val="clear" w:color="auto" w:fill="auto"/>
          </w:tcPr>
          <w:p w14:paraId="0129E69E" w14:textId="77777777" w:rsidR="00172D8B" w:rsidRPr="00A810D5" w:rsidRDefault="00172D8B" w:rsidP="004C2506">
            <w:pPr>
              <w:spacing w:after="0" w:line="276" w:lineRule="auto"/>
              <w:rPr>
                <w:rFonts w:cs="Arial"/>
                <w:b/>
              </w:rPr>
            </w:pPr>
            <w:r w:rsidRPr="00A810D5">
              <w:rPr>
                <w:rFonts w:cs="Arial"/>
                <w:b/>
              </w:rPr>
              <w:t>1.</w:t>
            </w:r>
            <w:r w:rsidRPr="00A810D5">
              <w:rPr>
                <w:rFonts w:cs="Arial"/>
                <w:b/>
              </w:rPr>
              <w:tab/>
              <w:t>Population Needs</w:t>
            </w:r>
          </w:p>
        </w:tc>
      </w:tr>
      <w:tr w:rsidR="00172D8B" w:rsidRPr="00512021" w14:paraId="218BDB12" w14:textId="77777777" w:rsidTr="007F18D8">
        <w:tc>
          <w:tcPr>
            <w:tcW w:w="5000" w:type="pct"/>
            <w:shd w:val="clear" w:color="auto" w:fill="auto"/>
          </w:tcPr>
          <w:p w14:paraId="50CEB3BF" w14:textId="77777777" w:rsidR="00172D8B" w:rsidRDefault="00172D8B" w:rsidP="00172D8B">
            <w:pPr>
              <w:numPr>
                <w:ilvl w:val="1"/>
                <w:numId w:val="24"/>
              </w:numPr>
              <w:spacing w:after="0"/>
              <w:jc w:val="left"/>
              <w:rPr>
                <w:rFonts w:cs="Arial"/>
                <w:b/>
              </w:rPr>
            </w:pPr>
            <w:r w:rsidRPr="00A810D5">
              <w:rPr>
                <w:rFonts w:cs="Arial"/>
                <w:b/>
              </w:rPr>
              <w:tab/>
              <w:t>National/local context and evidence base</w:t>
            </w:r>
          </w:p>
          <w:p w14:paraId="24D27BBB" w14:textId="77777777" w:rsidR="007C0A0D" w:rsidRPr="007C0A0D" w:rsidRDefault="007C0A0D" w:rsidP="007C0A0D">
            <w:pPr>
              <w:spacing w:after="0"/>
              <w:jc w:val="left"/>
              <w:rPr>
                <w:rFonts w:cs="Arial"/>
                <w:b/>
                <w:color w:val="1F497D" w:themeColor="text2"/>
              </w:rPr>
            </w:pPr>
          </w:p>
          <w:p w14:paraId="39E18A81" w14:textId="77777777" w:rsidR="00FB35FB" w:rsidRPr="001B2A35" w:rsidRDefault="00FB35FB" w:rsidP="00FB35FB">
            <w:pPr>
              <w:spacing w:after="0"/>
              <w:rPr>
                <w:lang w:val="en-GB" w:eastAsia="en-US"/>
              </w:rPr>
            </w:pPr>
            <w:r>
              <w:rPr>
                <w:lang w:val="en-GB" w:eastAsia="en-US"/>
              </w:rPr>
              <w:t xml:space="preserve">The Community Pharmacy </w:t>
            </w:r>
            <w:r w:rsidRPr="00384B61">
              <w:rPr>
                <w:lang w:val="en-GB" w:eastAsia="en-US"/>
              </w:rPr>
              <w:t xml:space="preserve">First </w:t>
            </w:r>
            <w:r>
              <w:rPr>
                <w:lang w:val="en-GB" w:eastAsia="en-US"/>
              </w:rPr>
              <w:t xml:space="preserve">minor ailments service </w:t>
            </w:r>
            <w:r w:rsidRPr="00384B61">
              <w:rPr>
                <w:lang w:val="en-GB" w:eastAsia="en-US"/>
              </w:rPr>
              <w:t xml:space="preserve">is designed to provide </w:t>
            </w:r>
            <w:r>
              <w:rPr>
                <w:lang w:val="en-GB" w:eastAsia="en-US"/>
              </w:rPr>
              <w:t>timely</w:t>
            </w:r>
            <w:r w:rsidRPr="00384B61">
              <w:rPr>
                <w:lang w:val="en-GB" w:eastAsia="en-US"/>
              </w:rPr>
              <w:t xml:space="preserve"> access to a </w:t>
            </w:r>
            <w:r>
              <w:t>pharmacist or pharmacy technician/dispenser working under the supervision of a pharmacist</w:t>
            </w:r>
            <w:r w:rsidDel="007613F7">
              <w:rPr>
                <w:lang w:val="en-GB" w:eastAsia="en-US"/>
              </w:rPr>
              <w:t xml:space="preserve"> </w:t>
            </w:r>
            <w:r w:rsidRPr="00384B61">
              <w:rPr>
                <w:lang w:val="en-GB" w:eastAsia="en-US"/>
              </w:rPr>
              <w:t xml:space="preserve">who can give advice on a range of minor ailments and, where necessary, supply medication from </w:t>
            </w:r>
            <w:r>
              <w:rPr>
                <w:lang w:val="en-GB" w:eastAsia="en-US"/>
              </w:rPr>
              <w:t>the</w:t>
            </w:r>
            <w:r w:rsidRPr="00384B61">
              <w:rPr>
                <w:lang w:val="en-GB" w:eastAsia="en-US"/>
              </w:rPr>
              <w:t xml:space="preserve"> agreed </w:t>
            </w:r>
            <w:r>
              <w:rPr>
                <w:lang w:val="en-GB" w:eastAsia="en-US"/>
              </w:rPr>
              <w:t xml:space="preserve">Pharmacy First </w:t>
            </w:r>
            <w:r w:rsidRPr="00384B61">
              <w:rPr>
                <w:lang w:val="en-GB" w:eastAsia="en-US"/>
              </w:rPr>
              <w:t xml:space="preserve">formulary.  </w:t>
            </w:r>
            <w:r w:rsidRPr="001B2A35">
              <w:rPr>
                <w:lang w:val="en-GB" w:eastAsia="en-US"/>
              </w:rPr>
              <w:t>It aims to support people in the community who are unable to afford to self-manage minor ailments themselves, and who would otherwise contact the GP for a prescription.</w:t>
            </w:r>
          </w:p>
          <w:p w14:paraId="1C8B3AFA" w14:textId="77777777" w:rsidR="00FB35FB" w:rsidRPr="001B2A35" w:rsidRDefault="00FB35FB" w:rsidP="00FB35FB">
            <w:pPr>
              <w:spacing w:after="0"/>
              <w:rPr>
                <w:lang w:val="en-GB" w:eastAsia="en-US"/>
              </w:rPr>
            </w:pPr>
          </w:p>
          <w:p w14:paraId="24624092" w14:textId="77777777" w:rsidR="007C0A0D" w:rsidRPr="001B2A35" w:rsidRDefault="007C0A0D" w:rsidP="007C0A0D">
            <w:pPr>
              <w:spacing w:after="0"/>
              <w:jc w:val="left"/>
              <w:rPr>
                <w:lang w:val="en-GB" w:eastAsia="en-US"/>
              </w:rPr>
            </w:pPr>
            <w:r w:rsidRPr="001B2A35">
              <w:rPr>
                <w:lang w:val="en-GB" w:eastAsia="en-US"/>
              </w:rPr>
              <w:t>The Community Pharmacy First minor ailments service is designed to complement the new NHS England commissioned Community Pharmacy Consultation Service</w:t>
            </w:r>
            <w:r w:rsidR="00FB35FB" w:rsidRPr="001B2A35">
              <w:rPr>
                <w:lang w:val="en-GB" w:eastAsia="en-US"/>
              </w:rPr>
              <w:t xml:space="preserve"> (CPCS)</w:t>
            </w:r>
            <w:r w:rsidRPr="001B2A35">
              <w:rPr>
                <w:lang w:val="en-GB" w:eastAsia="en-US"/>
              </w:rPr>
              <w:t xml:space="preserve">. To access this, people ring 111 who direct them to a community pharmacy and a Minor Ailments consultation. NHS England </w:t>
            </w:r>
            <w:r w:rsidR="002D6C33" w:rsidRPr="001B2A35">
              <w:rPr>
                <w:lang w:val="en-GB" w:eastAsia="en-US"/>
              </w:rPr>
              <w:t>–</w:t>
            </w:r>
            <w:r w:rsidR="00FB35FB" w:rsidRPr="001B2A35">
              <w:rPr>
                <w:lang w:val="en-GB" w:eastAsia="en-US"/>
              </w:rPr>
              <w:t xml:space="preserve"> Wessex</w:t>
            </w:r>
            <w:r w:rsidR="002D6C33" w:rsidRPr="001B2A35">
              <w:rPr>
                <w:lang w:val="en-GB" w:eastAsia="en-US"/>
              </w:rPr>
              <w:t xml:space="preserve"> pays £14</w:t>
            </w:r>
            <w:r w:rsidR="00FB35FB" w:rsidRPr="001B2A35">
              <w:rPr>
                <w:lang w:val="en-GB" w:eastAsia="en-US"/>
              </w:rPr>
              <w:t xml:space="preserve"> </w:t>
            </w:r>
            <w:r w:rsidRPr="001B2A35">
              <w:rPr>
                <w:lang w:val="en-GB" w:eastAsia="en-US"/>
              </w:rPr>
              <w:t xml:space="preserve">for </w:t>
            </w:r>
            <w:r w:rsidR="002D6C33" w:rsidRPr="001B2A35">
              <w:rPr>
                <w:lang w:val="en-GB" w:eastAsia="en-US"/>
              </w:rPr>
              <w:t>the consultation and follow-</w:t>
            </w:r>
            <w:r w:rsidRPr="001B2A35">
              <w:rPr>
                <w:lang w:val="en-GB" w:eastAsia="en-US"/>
              </w:rPr>
              <w:t xml:space="preserve">up. In the first instance, the person is asked to purchase a medicine </w:t>
            </w:r>
            <w:r w:rsidR="002D6C33" w:rsidRPr="001B2A35">
              <w:rPr>
                <w:lang w:val="en-GB" w:eastAsia="en-US"/>
              </w:rPr>
              <w:t xml:space="preserve">OTC </w:t>
            </w:r>
            <w:r w:rsidRPr="001B2A35">
              <w:rPr>
                <w:lang w:val="en-GB" w:eastAsia="en-US"/>
              </w:rPr>
              <w:t>themselves if appropriate.</w:t>
            </w:r>
          </w:p>
          <w:p w14:paraId="6853D9E8" w14:textId="77777777" w:rsidR="007C0A0D" w:rsidRPr="001B2A35" w:rsidRDefault="007C0A0D" w:rsidP="007C0A0D">
            <w:pPr>
              <w:spacing w:after="0"/>
              <w:jc w:val="left"/>
              <w:rPr>
                <w:lang w:val="en-GB" w:eastAsia="en-US"/>
              </w:rPr>
            </w:pPr>
          </w:p>
          <w:p w14:paraId="73DB9450" w14:textId="77777777" w:rsidR="001B2A35" w:rsidRDefault="007C0A0D" w:rsidP="007C0A0D">
            <w:pPr>
              <w:spacing w:after="0"/>
              <w:jc w:val="left"/>
              <w:rPr>
                <w:color w:val="1F497D" w:themeColor="text2"/>
                <w:lang w:val="en-GB" w:eastAsia="en-US"/>
              </w:rPr>
            </w:pPr>
            <w:r w:rsidRPr="001B2A35">
              <w:rPr>
                <w:lang w:val="en-GB" w:eastAsia="en-US"/>
              </w:rPr>
              <w:t xml:space="preserve">The IOW CCG commissioned Pharmacy First service will be available if the person </w:t>
            </w:r>
            <w:r w:rsidR="001E593E">
              <w:rPr>
                <w:lang w:val="en-GB" w:eastAsia="en-US"/>
              </w:rPr>
              <w:t xml:space="preserve">genuinely </w:t>
            </w:r>
            <w:r w:rsidRPr="001B2A35">
              <w:rPr>
                <w:lang w:val="en-GB" w:eastAsia="en-US"/>
              </w:rPr>
              <w:t>cannot pay for the recommended medicine that is on the Pharmacy First formulary</w:t>
            </w:r>
            <w:r w:rsidR="001E593E">
              <w:rPr>
                <w:lang w:val="en-GB" w:eastAsia="en-US"/>
              </w:rPr>
              <w:t xml:space="preserve"> </w:t>
            </w:r>
            <w:r w:rsidR="001E593E" w:rsidRPr="001B2A35">
              <w:rPr>
                <w:lang w:val="en-GB" w:eastAsia="en-US"/>
              </w:rPr>
              <w:t xml:space="preserve">and who would otherwise attend a </w:t>
            </w:r>
            <w:r w:rsidR="001E593E">
              <w:rPr>
                <w:lang w:val="en-GB" w:eastAsia="en-US"/>
              </w:rPr>
              <w:t xml:space="preserve">general practice </w:t>
            </w:r>
            <w:r w:rsidR="001E593E" w:rsidRPr="001B2A35">
              <w:rPr>
                <w:lang w:val="en-GB" w:eastAsia="en-US"/>
              </w:rPr>
              <w:t>for a prescription</w:t>
            </w:r>
            <w:r w:rsidR="00BF0B54">
              <w:rPr>
                <w:lang w:val="en-GB" w:eastAsia="en-US"/>
              </w:rPr>
              <w:t xml:space="preserve"> - See inclusion criteria.</w:t>
            </w:r>
            <w:r w:rsidR="003D26AB">
              <w:rPr>
                <w:noProof/>
                <w:lang w:val="en-GB" w:eastAsia="en-GB"/>
              </w:rPr>
              <w:drawing>
                <wp:inline distT="0" distB="0" distL="0" distR="0" wp14:anchorId="50701278" wp14:editId="768175C2">
                  <wp:extent cx="6005779" cy="3306470"/>
                  <wp:effectExtent l="0" t="0" r="0" b="8255"/>
                  <wp:docPr id="4" name="Picture 4" descr="cid:image001.png@01D5ED78.C53FF8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1.png@01D5ED78.C53FF86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6026259" cy="3317745"/>
                          </a:xfrm>
                          <a:prstGeom prst="rect">
                            <a:avLst/>
                          </a:prstGeom>
                          <a:noFill/>
                          <a:ln>
                            <a:noFill/>
                          </a:ln>
                        </pic:spPr>
                      </pic:pic>
                    </a:graphicData>
                  </a:graphic>
                </wp:inline>
              </w:drawing>
            </w:r>
          </w:p>
          <w:p w14:paraId="49D5A4A4" w14:textId="77777777" w:rsidR="003D26AB" w:rsidRDefault="003D26AB" w:rsidP="007C0A0D">
            <w:pPr>
              <w:spacing w:after="0"/>
              <w:jc w:val="left"/>
              <w:rPr>
                <w:lang w:val="en-GB" w:eastAsia="en-US"/>
              </w:rPr>
            </w:pPr>
          </w:p>
          <w:p w14:paraId="241A10DB" w14:textId="77777777" w:rsidR="000B60DA" w:rsidRDefault="000B60DA" w:rsidP="001E593E">
            <w:pPr>
              <w:spacing w:after="0"/>
              <w:jc w:val="left"/>
              <w:rPr>
                <w:lang w:val="en-GB" w:eastAsia="en-US"/>
              </w:rPr>
            </w:pPr>
            <w:r>
              <w:rPr>
                <w:lang w:val="en-GB" w:eastAsia="en-US"/>
              </w:rPr>
              <w:lastRenderedPageBreak/>
              <w:t>The pharmacy must be willing to accept patients from a variety of referral routes:</w:t>
            </w:r>
          </w:p>
          <w:p w14:paraId="17055CE8" w14:textId="77777777" w:rsidR="000B60DA" w:rsidRDefault="000B60DA" w:rsidP="001E593E">
            <w:pPr>
              <w:spacing w:after="0"/>
              <w:jc w:val="left"/>
              <w:rPr>
                <w:lang w:val="en-GB" w:eastAsia="en-US"/>
              </w:rPr>
            </w:pPr>
          </w:p>
          <w:p w14:paraId="43C9DE5D" w14:textId="77777777" w:rsidR="001E593E" w:rsidRPr="001B2A35" w:rsidRDefault="007C0A0D" w:rsidP="001E593E">
            <w:pPr>
              <w:spacing w:after="0"/>
              <w:jc w:val="left"/>
              <w:rPr>
                <w:lang w:val="en-GB" w:eastAsia="en-US"/>
              </w:rPr>
            </w:pPr>
            <w:r w:rsidRPr="001B2A35">
              <w:rPr>
                <w:lang w:val="en-GB" w:eastAsia="en-US"/>
              </w:rPr>
              <w:t xml:space="preserve">For people who self-refer, or the GP refers, to the pharmacy </w:t>
            </w:r>
            <w:r w:rsidR="000B60DA">
              <w:rPr>
                <w:lang w:val="en-GB" w:eastAsia="en-US"/>
              </w:rPr>
              <w:t xml:space="preserve">- </w:t>
            </w:r>
            <w:r w:rsidRPr="001B2A35">
              <w:rPr>
                <w:lang w:val="en-GB" w:eastAsia="en-US"/>
              </w:rPr>
              <w:t xml:space="preserve">in the first instance the person is asked </w:t>
            </w:r>
            <w:r w:rsidR="00FB35FB" w:rsidRPr="001B2A35">
              <w:rPr>
                <w:lang w:val="en-GB" w:eastAsia="en-US"/>
              </w:rPr>
              <w:t>to purchase the OTC</w:t>
            </w:r>
            <w:r w:rsidRPr="001B2A35">
              <w:rPr>
                <w:lang w:val="en-GB" w:eastAsia="en-US"/>
              </w:rPr>
              <w:t xml:space="preserve"> med</w:t>
            </w:r>
            <w:r w:rsidR="00FB35FB" w:rsidRPr="001B2A35">
              <w:rPr>
                <w:lang w:val="en-GB" w:eastAsia="en-US"/>
              </w:rPr>
              <w:t>icine themselves if appropriate. For people who genuinely are unable to pay for the recommended medicine, and who would otherwise attend a GP for a prescription, the IOW CCG will reimburse the cost of a medicine supplied from the Pharmacy First formulary.</w:t>
            </w:r>
            <w:r w:rsidR="001E593E">
              <w:rPr>
                <w:lang w:val="en-GB" w:eastAsia="en-US"/>
              </w:rPr>
              <w:t xml:space="preserve"> </w:t>
            </w:r>
          </w:p>
          <w:p w14:paraId="32646476" w14:textId="77777777" w:rsidR="0046770D" w:rsidRPr="001B2A35" w:rsidRDefault="0046770D" w:rsidP="00993885">
            <w:pPr>
              <w:spacing w:after="0"/>
              <w:rPr>
                <w:lang w:val="en-GB" w:eastAsia="en-US"/>
              </w:rPr>
            </w:pPr>
          </w:p>
          <w:p w14:paraId="506ED211" w14:textId="77777777" w:rsidR="001E593E" w:rsidRDefault="00FB35FB" w:rsidP="00FB35FB">
            <w:pPr>
              <w:spacing w:after="0"/>
              <w:jc w:val="left"/>
              <w:rPr>
                <w:lang w:val="en-GB" w:eastAsia="en-US"/>
              </w:rPr>
            </w:pPr>
            <w:r w:rsidRPr="001B2A35">
              <w:rPr>
                <w:lang w:val="en-GB" w:eastAsia="en-US"/>
              </w:rPr>
              <w:t xml:space="preserve">CPCS </w:t>
            </w:r>
            <w:r w:rsidR="000B60DA">
              <w:rPr>
                <w:lang w:val="en-GB" w:eastAsia="en-US"/>
              </w:rPr>
              <w:t xml:space="preserve">referral </w:t>
            </w:r>
            <w:r w:rsidRPr="001B2A35">
              <w:rPr>
                <w:lang w:val="en-GB" w:eastAsia="en-US"/>
              </w:rPr>
              <w:t xml:space="preserve">- If the referral has come via 111 and the CPCS service, the pharmacy </w:t>
            </w:r>
            <w:r w:rsidR="004C0F47" w:rsidRPr="001B2A35">
              <w:rPr>
                <w:lang w:val="en-GB" w:eastAsia="en-US"/>
              </w:rPr>
              <w:t>will be able to claim an</w:t>
            </w:r>
            <w:r w:rsidRPr="001B2A35">
              <w:rPr>
                <w:lang w:val="en-GB" w:eastAsia="en-US"/>
              </w:rPr>
              <w:t xml:space="preserve"> additional </w:t>
            </w:r>
            <w:r w:rsidR="004C0738">
              <w:rPr>
                <w:lang w:val="en-GB" w:eastAsia="en-US"/>
              </w:rPr>
              <w:t xml:space="preserve">£2.00 </w:t>
            </w:r>
            <w:r w:rsidRPr="001B2A35">
              <w:rPr>
                <w:lang w:val="en-GB" w:eastAsia="en-US"/>
              </w:rPr>
              <w:t xml:space="preserve">consultation fee for Pharmacy First </w:t>
            </w:r>
            <w:r w:rsidR="001E593E">
              <w:rPr>
                <w:lang w:val="en-GB" w:eastAsia="en-US"/>
              </w:rPr>
              <w:t xml:space="preserve">(or £10.00 for a PGD) </w:t>
            </w:r>
            <w:r w:rsidRPr="001B2A35">
              <w:rPr>
                <w:lang w:val="en-GB" w:eastAsia="en-US"/>
              </w:rPr>
              <w:t xml:space="preserve">from the IOW CCG. </w:t>
            </w:r>
          </w:p>
          <w:p w14:paraId="467DAFCA" w14:textId="77777777" w:rsidR="001E593E" w:rsidRDefault="001E593E" w:rsidP="00FB35FB">
            <w:pPr>
              <w:spacing w:after="0"/>
              <w:jc w:val="left"/>
              <w:rPr>
                <w:lang w:val="en-GB" w:eastAsia="en-US"/>
              </w:rPr>
            </w:pPr>
          </w:p>
          <w:p w14:paraId="5ECDBB83" w14:textId="77777777" w:rsidR="00FB35FB" w:rsidRDefault="00FB35FB" w:rsidP="00FB35FB">
            <w:pPr>
              <w:rPr>
                <w:lang w:val="en-GB" w:eastAsia="en-US"/>
              </w:rPr>
            </w:pPr>
            <w:r w:rsidRPr="0046770D">
              <w:rPr>
                <w:lang w:val="en-GB" w:eastAsia="en-US"/>
              </w:rPr>
              <w:t>The service provider will provide healthcare advice and self-management support to people regarding minor ailments.  This will also include the supply of printed in</w:t>
            </w:r>
            <w:r w:rsidR="004C0F47">
              <w:rPr>
                <w:lang w:val="en-GB" w:eastAsia="en-US"/>
              </w:rPr>
              <w:t>formation where appropriate and</w:t>
            </w:r>
            <w:r w:rsidRPr="0046770D">
              <w:rPr>
                <w:lang w:val="en-GB" w:eastAsia="en-US"/>
              </w:rPr>
              <w:t xml:space="preserve"> if necessary, the supply of medicines (free of charge to those exempt from prescription charges) for the treatment of the minor ailment. The Pharmacy First formulary is published on the </w:t>
            </w:r>
            <w:proofErr w:type="spellStart"/>
            <w:r w:rsidR="007D68FA">
              <w:rPr>
                <w:lang w:val="en-GB" w:eastAsia="en-US"/>
              </w:rPr>
              <w:t>PharmOutcomes</w:t>
            </w:r>
            <w:proofErr w:type="spellEnd"/>
            <w:r w:rsidR="007D68FA">
              <w:rPr>
                <w:lang w:val="en-GB" w:eastAsia="en-US"/>
              </w:rPr>
              <w:t>®</w:t>
            </w:r>
            <w:r w:rsidRPr="0046770D">
              <w:rPr>
                <w:lang w:val="en-GB" w:eastAsia="en-US"/>
              </w:rPr>
              <w:t xml:space="preserve"> website. All consultations provided under the Pharmacy First service will be claimed via </w:t>
            </w:r>
            <w:proofErr w:type="spellStart"/>
            <w:r w:rsidR="007D68FA">
              <w:rPr>
                <w:lang w:val="en-GB" w:eastAsia="en-US"/>
              </w:rPr>
              <w:t>PharmOutcomes</w:t>
            </w:r>
            <w:proofErr w:type="spellEnd"/>
            <w:r w:rsidR="007D68FA">
              <w:rPr>
                <w:lang w:val="en-GB" w:eastAsia="en-US"/>
              </w:rPr>
              <w:t>®</w:t>
            </w:r>
            <w:r w:rsidRPr="0046770D">
              <w:rPr>
                <w:lang w:val="en-GB" w:eastAsia="en-US"/>
              </w:rPr>
              <w:t>.</w:t>
            </w:r>
          </w:p>
          <w:p w14:paraId="159F7658" w14:textId="77777777" w:rsidR="00172D8B" w:rsidRPr="001B2A35" w:rsidRDefault="0046770D" w:rsidP="00FB35FB">
            <w:pPr>
              <w:rPr>
                <w:lang w:val="en-GB" w:eastAsia="en-US"/>
              </w:rPr>
            </w:pPr>
            <w:r w:rsidRPr="0046770D">
              <w:rPr>
                <w:lang w:val="en-GB" w:eastAsia="en-US"/>
              </w:rPr>
              <w:t>The service is available during the pharmacy opening hours. The service can be provided by both pharmacists and pharmacy technicians/</w:t>
            </w:r>
            <w:r w:rsidRPr="0046770D">
              <w:t>dispensers</w:t>
            </w:r>
            <w:r w:rsidR="005B537F">
              <w:t xml:space="preserve"> working under the supervision of a pharmacist</w:t>
            </w:r>
            <w:r w:rsidRPr="0046770D">
              <w:rPr>
                <w:lang w:val="en-GB" w:eastAsia="en-US"/>
              </w:rPr>
              <w:t>. People will either self-refer into the service or will be referred by their GP, 111 or the Urgent Treatment Centre (UTC) provider.</w:t>
            </w:r>
          </w:p>
        </w:tc>
      </w:tr>
      <w:tr w:rsidR="00172D8B" w:rsidRPr="00B5552C" w14:paraId="3A800FFD" w14:textId="77777777" w:rsidTr="007F18D8">
        <w:tc>
          <w:tcPr>
            <w:tcW w:w="5000" w:type="pct"/>
            <w:shd w:val="clear" w:color="auto" w:fill="auto"/>
          </w:tcPr>
          <w:p w14:paraId="0D6017DC" w14:textId="77777777" w:rsidR="00172D8B" w:rsidRPr="00A810D5" w:rsidRDefault="00172D8B" w:rsidP="004C2506">
            <w:pPr>
              <w:spacing w:after="0" w:line="276" w:lineRule="auto"/>
              <w:rPr>
                <w:rFonts w:cs="Arial"/>
                <w:b/>
              </w:rPr>
            </w:pPr>
            <w:r w:rsidRPr="00A810D5">
              <w:rPr>
                <w:rFonts w:cs="Arial"/>
                <w:b/>
              </w:rPr>
              <w:lastRenderedPageBreak/>
              <w:t>2.</w:t>
            </w:r>
            <w:r w:rsidRPr="00A810D5">
              <w:rPr>
                <w:rFonts w:cs="Arial"/>
                <w:b/>
              </w:rPr>
              <w:tab/>
              <w:t>Outcomes</w:t>
            </w:r>
          </w:p>
        </w:tc>
      </w:tr>
      <w:tr w:rsidR="00172D8B" w:rsidRPr="00DF4267" w14:paraId="16C9EBA2" w14:textId="77777777" w:rsidTr="007F18D8">
        <w:tc>
          <w:tcPr>
            <w:tcW w:w="5000" w:type="pct"/>
            <w:shd w:val="clear" w:color="auto" w:fill="auto"/>
          </w:tcPr>
          <w:p w14:paraId="5DF2382C" w14:textId="77777777" w:rsidR="00172D8B" w:rsidRPr="00A810D5" w:rsidRDefault="00172D8B" w:rsidP="004C2506">
            <w:pPr>
              <w:spacing w:after="0" w:line="276" w:lineRule="auto"/>
              <w:rPr>
                <w:rFonts w:cs="Arial"/>
                <w:b/>
              </w:rPr>
            </w:pPr>
            <w:r w:rsidRPr="00A810D5">
              <w:rPr>
                <w:rFonts w:cs="Arial"/>
                <w:b/>
              </w:rPr>
              <w:t>2.1</w:t>
            </w:r>
            <w:r w:rsidRPr="00A810D5">
              <w:rPr>
                <w:rFonts w:cs="Arial"/>
                <w:b/>
              </w:rPr>
              <w:tab/>
            </w:r>
            <w:r w:rsidRPr="00A810D5">
              <w:rPr>
                <w:rFonts w:cs="Arial"/>
                <w:b/>
                <w:u w:val="single"/>
              </w:rPr>
              <w:t>NHS Outcomes Framework Domains &amp; Indicators</w:t>
            </w:r>
          </w:p>
          <w:p w14:paraId="3061D2F7" w14:textId="77777777" w:rsidR="00172D8B" w:rsidRPr="00A810D5" w:rsidRDefault="00172D8B" w:rsidP="004C2506">
            <w:pPr>
              <w:spacing w:after="0" w:line="276" w:lineRule="auto"/>
              <w:rPr>
                <w:rFonts w:cs="Arial"/>
                <w:b/>
              </w:rPr>
            </w:pPr>
          </w:p>
          <w:tbl>
            <w:tblPr>
              <w:tblStyle w:val="TableGrid"/>
              <w:tblW w:w="0" w:type="auto"/>
              <w:tblInd w:w="738" w:type="dxa"/>
              <w:tblLook w:val="04A0" w:firstRow="1" w:lastRow="0" w:firstColumn="1" w:lastColumn="0" w:noHBand="0" w:noVBand="1"/>
              <w:tblDescription w:val="NHS Outcomes Framework Domains &amp; Indicators"/>
            </w:tblPr>
            <w:tblGrid>
              <w:gridCol w:w="1276"/>
              <w:gridCol w:w="5528"/>
              <w:gridCol w:w="641"/>
            </w:tblGrid>
            <w:tr w:rsidR="00172D8B" w:rsidRPr="00A810D5" w14:paraId="0CE49BFB" w14:textId="77777777" w:rsidTr="004C2506">
              <w:trPr>
                <w:tblHeader/>
              </w:trPr>
              <w:tc>
                <w:tcPr>
                  <w:tcW w:w="1276" w:type="dxa"/>
                </w:tcPr>
                <w:p w14:paraId="33E7258C" w14:textId="77777777" w:rsidR="00172D8B" w:rsidRPr="00A810D5" w:rsidRDefault="00172D8B" w:rsidP="004C2506">
                  <w:pPr>
                    <w:spacing w:line="276" w:lineRule="auto"/>
                    <w:rPr>
                      <w:rFonts w:cs="Arial"/>
                      <w:b/>
                    </w:rPr>
                  </w:pPr>
                  <w:r w:rsidRPr="00A810D5">
                    <w:rPr>
                      <w:rFonts w:cs="Arial"/>
                      <w:b/>
                    </w:rPr>
                    <w:t>Domain 1</w:t>
                  </w:r>
                </w:p>
              </w:tc>
              <w:tc>
                <w:tcPr>
                  <w:tcW w:w="5528" w:type="dxa"/>
                </w:tcPr>
                <w:p w14:paraId="45984134" w14:textId="77777777" w:rsidR="00172D8B" w:rsidRPr="00A810D5" w:rsidRDefault="00172D8B" w:rsidP="004C2506">
                  <w:pPr>
                    <w:spacing w:line="276" w:lineRule="auto"/>
                    <w:rPr>
                      <w:rFonts w:cs="Arial"/>
                      <w:b/>
                    </w:rPr>
                  </w:pPr>
                  <w:r w:rsidRPr="00A810D5">
                    <w:rPr>
                      <w:rFonts w:cs="Arial"/>
                      <w:b/>
                    </w:rPr>
                    <w:t>Preventing people from dying prematurely</w:t>
                  </w:r>
                </w:p>
              </w:tc>
              <w:tc>
                <w:tcPr>
                  <w:tcW w:w="641" w:type="dxa"/>
                </w:tcPr>
                <w:p w14:paraId="7D0A3D75" w14:textId="77777777" w:rsidR="00172D8B" w:rsidRPr="00A810D5" w:rsidRDefault="00172D8B" w:rsidP="004C2506">
                  <w:pPr>
                    <w:spacing w:line="276" w:lineRule="auto"/>
                    <w:rPr>
                      <w:rFonts w:cs="Arial"/>
                      <w:b/>
                    </w:rPr>
                  </w:pPr>
                </w:p>
              </w:tc>
            </w:tr>
            <w:tr w:rsidR="00172D8B" w:rsidRPr="00A810D5" w14:paraId="34C18DBD" w14:textId="77777777" w:rsidTr="004C2506">
              <w:tc>
                <w:tcPr>
                  <w:tcW w:w="1276" w:type="dxa"/>
                </w:tcPr>
                <w:p w14:paraId="3940A402" w14:textId="77777777" w:rsidR="00172D8B" w:rsidRPr="00A810D5" w:rsidRDefault="00172D8B" w:rsidP="004C2506">
                  <w:pPr>
                    <w:spacing w:line="276" w:lineRule="auto"/>
                    <w:rPr>
                      <w:rFonts w:cs="Arial"/>
                      <w:b/>
                    </w:rPr>
                  </w:pPr>
                  <w:r w:rsidRPr="00A810D5">
                    <w:rPr>
                      <w:rFonts w:cs="Arial"/>
                      <w:b/>
                    </w:rPr>
                    <w:t>Domain 2</w:t>
                  </w:r>
                </w:p>
              </w:tc>
              <w:tc>
                <w:tcPr>
                  <w:tcW w:w="5528" w:type="dxa"/>
                </w:tcPr>
                <w:p w14:paraId="7FE0A090" w14:textId="77777777" w:rsidR="00172D8B" w:rsidRPr="00A810D5" w:rsidRDefault="00172D8B" w:rsidP="004C2506">
                  <w:pPr>
                    <w:spacing w:line="276" w:lineRule="auto"/>
                    <w:rPr>
                      <w:rFonts w:cs="Arial"/>
                      <w:b/>
                    </w:rPr>
                  </w:pPr>
                  <w:r w:rsidRPr="00A810D5">
                    <w:rPr>
                      <w:rFonts w:cs="Arial"/>
                      <w:b/>
                    </w:rPr>
                    <w:t>Enhancing quality of life for people with long-term conditions</w:t>
                  </w:r>
                </w:p>
              </w:tc>
              <w:tc>
                <w:tcPr>
                  <w:tcW w:w="641" w:type="dxa"/>
                </w:tcPr>
                <w:p w14:paraId="677CAB39" w14:textId="77777777" w:rsidR="00172D8B" w:rsidRPr="00A810D5" w:rsidRDefault="00172D8B" w:rsidP="004C2506">
                  <w:pPr>
                    <w:spacing w:line="276" w:lineRule="auto"/>
                    <w:rPr>
                      <w:rFonts w:cs="Arial"/>
                      <w:b/>
                    </w:rPr>
                  </w:pPr>
                  <w:r>
                    <w:rPr>
                      <w:rFonts w:cs="Arial"/>
                      <w:b/>
                    </w:rPr>
                    <w:sym w:font="Wingdings 2" w:char="F050"/>
                  </w:r>
                </w:p>
              </w:tc>
            </w:tr>
            <w:tr w:rsidR="00172D8B" w:rsidRPr="00A810D5" w14:paraId="6B30808B" w14:textId="77777777" w:rsidTr="004C2506">
              <w:tc>
                <w:tcPr>
                  <w:tcW w:w="1276" w:type="dxa"/>
                </w:tcPr>
                <w:p w14:paraId="006751F2" w14:textId="77777777" w:rsidR="00172D8B" w:rsidRPr="00A810D5" w:rsidRDefault="00172D8B" w:rsidP="004C2506">
                  <w:pPr>
                    <w:spacing w:line="276" w:lineRule="auto"/>
                    <w:rPr>
                      <w:rFonts w:cs="Arial"/>
                      <w:b/>
                    </w:rPr>
                  </w:pPr>
                  <w:r w:rsidRPr="00A810D5">
                    <w:rPr>
                      <w:rFonts w:cs="Arial"/>
                      <w:b/>
                    </w:rPr>
                    <w:t>Domain 3</w:t>
                  </w:r>
                </w:p>
              </w:tc>
              <w:tc>
                <w:tcPr>
                  <w:tcW w:w="5528" w:type="dxa"/>
                </w:tcPr>
                <w:p w14:paraId="16BF72EE" w14:textId="77777777" w:rsidR="00172D8B" w:rsidRPr="00A810D5" w:rsidRDefault="00172D8B" w:rsidP="004C2506">
                  <w:pPr>
                    <w:spacing w:line="276" w:lineRule="auto"/>
                    <w:rPr>
                      <w:rFonts w:cs="Arial"/>
                      <w:b/>
                    </w:rPr>
                  </w:pPr>
                  <w:r w:rsidRPr="00A810D5">
                    <w:rPr>
                      <w:rFonts w:cs="Arial"/>
                      <w:b/>
                    </w:rPr>
                    <w:t>Helping people to recover from episodes of ill-health or following injury</w:t>
                  </w:r>
                </w:p>
              </w:tc>
              <w:tc>
                <w:tcPr>
                  <w:tcW w:w="641" w:type="dxa"/>
                </w:tcPr>
                <w:p w14:paraId="49A8C8E9" w14:textId="77777777" w:rsidR="00172D8B" w:rsidRPr="00A810D5" w:rsidRDefault="00172D8B" w:rsidP="004C2506">
                  <w:pPr>
                    <w:spacing w:line="276" w:lineRule="auto"/>
                    <w:rPr>
                      <w:rFonts w:cs="Arial"/>
                      <w:b/>
                    </w:rPr>
                  </w:pPr>
                </w:p>
              </w:tc>
            </w:tr>
            <w:tr w:rsidR="00172D8B" w:rsidRPr="00A810D5" w14:paraId="49D58312" w14:textId="77777777" w:rsidTr="004C2506">
              <w:tc>
                <w:tcPr>
                  <w:tcW w:w="1276" w:type="dxa"/>
                </w:tcPr>
                <w:p w14:paraId="3EC0481C" w14:textId="77777777" w:rsidR="00172D8B" w:rsidRPr="00A810D5" w:rsidRDefault="00172D8B" w:rsidP="004C2506">
                  <w:pPr>
                    <w:spacing w:line="276" w:lineRule="auto"/>
                    <w:rPr>
                      <w:rFonts w:cs="Arial"/>
                      <w:b/>
                    </w:rPr>
                  </w:pPr>
                  <w:r w:rsidRPr="00A810D5">
                    <w:rPr>
                      <w:rFonts w:cs="Arial"/>
                      <w:b/>
                    </w:rPr>
                    <w:t>Domain 4</w:t>
                  </w:r>
                </w:p>
              </w:tc>
              <w:tc>
                <w:tcPr>
                  <w:tcW w:w="5528" w:type="dxa"/>
                </w:tcPr>
                <w:p w14:paraId="719B3E80" w14:textId="77777777" w:rsidR="00172D8B" w:rsidRPr="00A810D5" w:rsidRDefault="00172D8B" w:rsidP="004C2506">
                  <w:pPr>
                    <w:spacing w:line="276" w:lineRule="auto"/>
                    <w:rPr>
                      <w:rFonts w:cs="Arial"/>
                      <w:b/>
                    </w:rPr>
                  </w:pPr>
                  <w:r w:rsidRPr="00A810D5">
                    <w:rPr>
                      <w:rFonts w:cs="Arial"/>
                      <w:b/>
                    </w:rPr>
                    <w:t>Ensuring people have a positive experience of care</w:t>
                  </w:r>
                </w:p>
              </w:tc>
              <w:tc>
                <w:tcPr>
                  <w:tcW w:w="641" w:type="dxa"/>
                </w:tcPr>
                <w:p w14:paraId="6BB996A7" w14:textId="77777777" w:rsidR="00172D8B" w:rsidRPr="00A810D5" w:rsidRDefault="00172D8B" w:rsidP="004C2506">
                  <w:pPr>
                    <w:spacing w:line="276" w:lineRule="auto"/>
                    <w:rPr>
                      <w:rFonts w:cs="Arial"/>
                      <w:b/>
                    </w:rPr>
                  </w:pPr>
                </w:p>
              </w:tc>
            </w:tr>
            <w:tr w:rsidR="00172D8B" w:rsidRPr="00A810D5" w14:paraId="27B3A11B" w14:textId="77777777" w:rsidTr="004C2506">
              <w:tc>
                <w:tcPr>
                  <w:tcW w:w="1276" w:type="dxa"/>
                </w:tcPr>
                <w:p w14:paraId="1F1233DD" w14:textId="77777777" w:rsidR="00172D8B" w:rsidRPr="00A810D5" w:rsidRDefault="00172D8B" w:rsidP="004C2506">
                  <w:pPr>
                    <w:spacing w:line="276" w:lineRule="auto"/>
                    <w:rPr>
                      <w:rFonts w:cs="Arial"/>
                      <w:b/>
                    </w:rPr>
                  </w:pPr>
                  <w:r w:rsidRPr="00A810D5">
                    <w:rPr>
                      <w:rFonts w:cs="Arial"/>
                      <w:b/>
                    </w:rPr>
                    <w:t>Domain 5</w:t>
                  </w:r>
                </w:p>
              </w:tc>
              <w:tc>
                <w:tcPr>
                  <w:tcW w:w="5528" w:type="dxa"/>
                </w:tcPr>
                <w:p w14:paraId="185C7576" w14:textId="77777777" w:rsidR="00172D8B" w:rsidRPr="00A810D5" w:rsidRDefault="00172D8B" w:rsidP="004C2506">
                  <w:pPr>
                    <w:spacing w:line="276" w:lineRule="auto"/>
                    <w:rPr>
                      <w:rFonts w:cs="Arial"/>
                      <w:b/>
                    </w:rPr>
                  </w:pPr>
                  <w:r w:rsidRPr="00A810D5">
                    <w:rPr>
                      <w:rFonts w:cs="Arial"/>
                      <w:b/>
                    </w:rPr>
                    <w:t>Treating and caring for people in safe environment and protecting them from avoidable harm</w:t>
                  </w:r>
                </w:p>
              </w:tc>
              <w:tc>
                <w:tcPr>
                  <w:tcW w:w="641" w:type="dxa"/>
                </w:tcPr>
                <w:p w14:paraId="2E12F0FB" w14:textId="77777777" w:rsidR="00172D8B" w:rsidRPr="00A810D5" w:rsidRDefault="00172D8B" w:rsidP="004C2506">
                  <w:pPr>
                    <w:spacing w:line="276" w:lineRule="auto"/>
                    <w:rPr>
                      <w:rFonts w:cs="Arial"/>
                      <w:b/>
                    </w:rPr>
                  </w:pPr>
                </w:p>
              </w:tc>
            </w:tr>
          </w:tbl>
          <w:p w14:paraId="31384D12" w14:textId="77777777" w:rsidR="00172D8B" w:rsidRPr="00A810D5" w:rsidRDefault="00172D8B" w:rsidP="004C2506">
            <w:pPr>
              <w:spacing w:after="0" w:line="276" w:lineRule="auto"/>
              <w:rPr>
                <w:rFonts w:cs="Arial"/>
                <w:b/>
              </w:rPr>
            </w:pPr>
          </w:p>
          <w:p w14:paraId="57F17139" w14:textId="77777777" w:rsidR="00172D8B" w:rsidRPr="00A810D5" w:rsidRDefault="00172D8B" w:rsidP="004C2506">
            <w:pPr>
              <w:spacing w:after="0" w:line="276" w:lineRule="auto"/>
              <w:rPr>
                <w:rFonts w:cs="Arial"/>
                <w:b/>
              </w:rPr>
            </w:pPr>
            <w:r w:rsidRPr="00A810D5">
              <w:rPr>
                <w:rFonts w:cs="Arial"/>
                <w:b/>
              </w:rPr>
              <w:t>2.2</w:t>
            </w:r>
            <w:r w:rsidRPr="00A810D5">
              <w:rPr>
                <w:rFonts w:cs="Arial"/>
                <w:b/>
              </w:rPr>
              <w:tab/>
              <w:t>Local defined outcomes</w:t>
            </w:r>
          </w:p>
          <w:p w14:paraId="64916EB2" w14:textId="77777777" w:rsidR="00993885" w:rsidRDefault="00993885" w:rsidP="00993885">
            <w:pPr>
              <w:pStyle w:val="ListParagraph"/>
              <w:numPr>
                <w:ilvl w:val="0"/>
                <w:numId w:val="3"/>
              </w:numPr>
            </w:pPr>
            <w:r>
              <w:t>An increase in people able to self-manage minor ailments by accessing timely advice and cost-effective medicines available from the community pharmacy.</w:t>
            </w:r>
          </w:p>
          <w:p w14:paraId="3A509E72" w14:textId="77777777" w:rsidR="00993885" w:rsidRDefault="00993885" w:rsidP="00993885">
            <w:pPr>
              <w:pStyle w:val="ListParagraph"/>
              <w:numPr>
                <w:ilvl w:val="0"/>
                <w:numId w:val="3"/>
              </w:numPr>
            </w:pPr>
            <w:r>
              <w:t>A reduction in</w:t>
            </w:r>
            <w:r w:rsidRPr="00384B61">
              <w:t xml:space="preserve"> demand </w:t>
            </w:r>
            <w:r>
              <w:t>for inappropriate appointments in other health care settings</w:t>
            </w:r>
            <w:r w:rsidR="007B58CF">
              <w:t>:</w:t>
            </w:r>
            <w:r>
              <w:t xml:space="preserve"> </w:t>
            </w:r>
            <w:r w:rsidR="007B58CF" w:rsidRPr="00D520B2">
              <w:t xml:space="preserve">General Practice (GP), 111, Accident and Emergency (A&amp;E).  </w:t>
            </w:r>
          </w:p>
          <w:p w14:paraId="41DB57F3" w14:textId="77777777" w:rsidR="00172D8B" w:rsidRPr="00A810D5" w:rsidRDefault="00172D8B" w:rsidP="00993885">
            <w:pPr>
              <w:spacing w:after="0"/>
              <w:ind w:left="360"/>
              <w:jc w:val="left"/>
              <w:rPr>
                <w:rFonts w:cs="Arial"/>
                <w:b/>
              </w:rPr>
            </w:pPr>
          </w:p>
        </w:tc>
      </w:tr>
      <w:tr w:rsidR="00172D8B" w:rsidRPr="00B5552C" w14:paraId="415EF52B" w14:textId="77777777" w:rsidTr="007F18D8">
        <w:tc>
          <w:tcPr>
            <w:tcW w:w="5000" w:type="pct"/>
            <w:shd w:val="clear" w:color="auto" w:fill="auto"/>
          </w:tcPr>
          <w:p w14:paraId="5B615DF9" w14:textId="77777777" w:rsidR="00172D8B" w:rsidRPr="00A810D5" w:rsidRDefault="00172D8B" w:rsidP="004C2506">
            <w:pPr>
              <w:spacing w:after="0" w:line="276" w:lineRule="auto"/>
              <w:rPr>
                <w:rFonts w:cs="Arial"/>
                <w:b/>
              </w:rPr>
            </w:pPr>
            <w:r w:rsidRPr="00A810D5">
              <w:rPr>
                <w:rFonts w:cs="Arial"/>
                <w:b/>
              </w:rPr>
              <w:t>3.</w:t>
            </w:r>
            <w:r w:rsidRPr="00A810D5">
              <w:rPr>
                <w:rFonts w:cs="Arial"/>
                <w:b/>
              </w:rPr>
              <w:tab/>
              <w:t>Scope</w:t>
            </w:r>
          </w:p>
        </w:tc>
      </w:tr>
      <w:tr w:rsidR="00172D8B" w:rsidRPr="00512021" w14:paraId="27A8E147" w14:textId="77777777" w:rsidTr="007F18D8">
        <w:tc>
          <w:tcPr>
            <w:tcW w:w="5000" w:type="pct"/>
            <w:shd w:val="clear" w:color="auto" w:fill="auto"/>
          </w:tcPr>
          <w:p w14:paraId="72F0590C" w14:textId="77777777" w:rsidR="00172D8B" w:rsidRPr="00A810D5" w:rsidRDefault="00172D8B" w:rsidP="004C2506">
            <w:pPr>
              <w:spacing w:after="0"/>
              <w:rPr>
                <w:rFonts w:cs="Arial"/>
                <w:b/>
              </w:rPr>
            </w:pPr>
            <w:r w:rsidRPr="00A810D5">
              <w:rPr>
                <w:rFonts w:cs="Arial"/>
                <w:b/>
              </w:rPr>
              <w:t>3.1</w:t>
            </w:r>
            <w:r w:rsidRPr="00A810D5">
              <w:rPr>
                <w:rFonts w:cs="Arial"/>
                <w:b/>
              </w:rPr>
              <w:tab/>
              <w:t>Aims and objectives of service</w:t>
            </w:r>
          </w:p>
          <w:p w14:paraId="099506D1" w14:textId="77777777" w:rsidR="007B58CF" w:rsidRDefault="00993885" w:rsidP="00993885">
            <w:pPr>
              <w:rPr>
                <w:rFonts w:cs="Arial"/>
              </w:rPr>
            </w:pPr>
            <w:r w:rsidRPr="00384B61">
              <w:rPr>
                <w:lang w:val="en-GB" w:eastAsia="en-US"/>
              </w:rPr>
              <w:t xml:space="preserve">The service aims to </w:t>
            </w:r>
            <w:r>
              <w:rPr>
                <w:lang w:val="en-GB" w:eastAsia="en-US"/>
              </w:rPr>
              <w:t xml:space="preserve">encourage and support </w:t>
            </w:r>
            <w:r w:rsidRPr="00384B61">
              <w:rPr>
                <w:lang w:val="en-GB" w:eastAsia="en-US"/>
              </w:rPr>
              <w:t>p</w:t>
            </w:r>
            <w:r>
              <w:rPr>
                <w:lang w:val="en-GB" w:eastAsia="en-US"/>
              </w:rPr>
              <w:t>eople</w:t>
            </w:r>
            <w:r w:rsidRPr="00384B61">
              <w:rPr>
                <w:lang w:val="en-GB" w:eastAsia="en-US"/>
              </w:rPr>
              <w:t xml:space="preserve"> with minor ailments </w:t>
            </w:r>
            <w:r>
              <w:rPr>
                <w:lang w:val="en-GB" w:eastAsia="en-US"/>
              </w:rPr>
              <w:t>to access health care advice to self-manage minor ailments and medicines without needing a prescription in the community pharmacy. This will</w:t>
            </w:r>
            <w:r w:rsidRPr="00384B61">
              <w:rPr>
                <w:lang w:val="en-GB" w:eastAsia="en-US"/>
              </w:rPr>
              <w:t xml:space="preserve"> relea</w:t>
            </w:r>
            <w:r>
              <w:rPr>
                <w:lang w:val="en-GB" w:eastAsia="en-US"/>
              </w:rPr>
              <w:t xml:space="preserve">se capacity in general practice </w:t>
            </w:r>
            <w:r w:rsidRPr="00384B61">
              <w:rPr>
                <w:lang w:val="en-GB" w:eastAsia="en-US"/>
              </w:rPr>
              <w:t xml:space="preserve">and </w:t>
            </w:r>
            <w:r>
              <w:rPr>
                <w:lang w:val="en-GB" w:eastAsia="en-US"/>
              </w:rPr>
              <w:t xml:space="preserve">reduce inappropriate demand for appointments in </w:t>
            </w:r>
            <w:r w:rsidR="007B58CF" w:rsidRPr="00D520B2">
              <w:rPr>
                <w:rFonts w:cs="Arial"/>
              </w:rPr>
              <w:t xml:space="preserve">General Practice (GP), 111, Accident and Emergency (A&amp;E).  </w:t>
            </w:r>
          </w:p>
          <w:p w14:paraId="3533314E" w14:textId="77777777" w:rsidR="00993885" w:rsidRPr="00E80E14" w:rsidRDefault="00993885" w:rsidP="00993885">
            <w:pPr>
              <w:rPr>
                <w:color w:val="1F497D" w:themeColor="text2"/>
                <w:lang w:val="en-GB" w:eastAsia="en-US"/>
              </w:rPr>
            </w:pPr>
            <w:r>
              <w:t>The intention is not to convert pharmacy medicine sales to Pharmacy First supplies where people are willing and able to purchase the medicines themselves</w:t>
            </w:r>
            <w:r w:rsidRPr="00384B61">
              <w:rPr>
                <w:lang w:val="en-GB" w:eastAsia="en-US"/>
              </w:rPr>
              <w:t xml:space="preserve">. People who usually manage their own minor </w:t>
            </w:r>
            <w:r w:rsidRPr="00E80E14">
              <w:rPr>
                <w:lang w:val="en-GB" w:eastAsia="en-US"/>
              </w:rPr>
              <w:t>ailments through self-care and purchase of medication should continue to do so.</w:t>
            </w:r>
          </w:p>
          <w:p w14:paraId="07F74BB7" w14:textId="77777777" w:rsidR="00172D8B" w:rsidRDefault="00172D8B" w:rsidP="004C2506">
            <w:pPr>
              <w:spacing w:after="0"/>
              <w:rPr>
                <w:rFonts w:cs="Arial"/>
                <w:b/>
              </w:rPr>
            </w:pPr>
            <w:r w:rsidRPr="00A810D5">
              <w:rPr>
                <w:rFonts w:cs="Arial"/>
                <w:b/>
              </w:rPr>
              <w:t>3.3</w:t>
            </w:r>
            <w:r w:rsidRPr="00A810D5">
              <w:rPr>
                <w:rFonts w:cs="Arial"/>
                <w:b/>
              </w:rPr>
              <w:tab/>
              <w:t>Population covered</w:t>
            </w:r>
          </w:p>
          <w:p w14:paraId="35205ECF" w14:textId="77777777" w:rsidR="00993885" w:rsidRDefault="00993885" w:rsidP="00993885">
            <w:pPr>
              <w:jc w:val="left"/>
            </w:pPr>
            <w:r>
              <w:t xml:space="preserve">The service is </w:t>
            </w:r>
            <w:r w:rsidR="007B58CF">
              <w:t>available for people registered with a UK GP, if</w:t>
            </w:r>
            <w:r>
              <w:t xml:space="preserve"> purchasing a medicine would be an issue due to the </w:t>
            </w:r>
            <w:r w:rsidR="007B58CF">
              <w:t xml:space="preserve">genuine </w:t>
            </w:r>
            <w:r>
              <w:t xml:space="preserve">financial barrier of cost and non-supply would generate an inappropriate GP </w:t>
            </w:r>
            <w:r>
              <w:lastRenderedPageBreak/>
              <w:t>appointment.</w:t>
            </w:r>
          </w:p>
          <w:p w14:paraId="35E1EEEF" w14:textId="77777777" w:rsidR="00993885" w:rsidRPr="00A810D5" w:rsidRDefault="00993885" w:rsidP="004C2506">
            <w:pPr>
              <w:spacing w:after="0"/>
              <w:rPr>
                <w:rFonts w:cs="Arial"/>
                <w:b/>
              </w:rPr>
            </w:pPr>
          </w:p>
          <w:p w14:paraId="37982875" w14:textId="77777777" w:rsidR="00172D8B" w:rsidRPr="00A810D5" w:rsidRDefault="00172D8B" w:rsidP="004C2506">
            <w:pPr>
              <w:spacing w:after="0"/>
              <w:rPr>
                <w:rFonts w:cs="Arial"/>
                <w:b/>
              </w:rPr>
            </w:pPr>
            <w:r w:rsidRPr="00A810D5">
              <w:rPr>
                <w:rFonts w:cs="Arial"/>
                <w:b/>
              </w:rPr>
              <w:t>3.4</w:t>
            </w:r>
            <w:r w:rsidRPr="00A810D5">
              <w:rPr>
                <w:rFonts w:cs="Arial"/>
                <w:b/>
              </w:rPr>
              <w:tab/>
              <w:t>Any acceptance and exclusion criteria and thresholds</w:t>
            </w:r>
          </w:p>
          <w:p w14:paraId="6354DDFA" w14:textId="77777777" w:rsidR="00172D8B" w:rsidRPr="007B58CF" w:rsidRDefault="00172D8B" w:rsidP="004C2506">
            <w:pPr>
              <w:spacing w:after="0"/>
              <w:rPr>
                <w:rFonts w:cs="Arial"/>
                <w:b/>
              </w:rPr>
            </w:pPr>
            <w:r w:rsidRPr="007B58CF">
              <w:rPr>
                <w:rFonts w:cs="Arial"/>
                <w:b/>
              </w:rPr>
              <w:t>3.4.1 Inclusion Criteria</w:t>
            </w:r>
          </w:p>
          <w:p w14:paraId="49D4B8FB" w14:textId="77777777" w:rsidR="00993885" w:rsidRPr="00993885" w:rsidRDefault="00993885" w:rsidP="007B58CF">
            <w:pPr>
              <w:pStyle w:val="ListParagraph"/>
              <w:numPr>
                <w:ilvl w:val="0"/>
                <w:numId w:val="4"/>
              </w:numPr>
            </w:pPr>
            <w:r w:rsidRPr="00993885">
              <w:t>Registered with a UK GP</w:t>
            </w:r>
          </w:p>
          <w:p w14:paraId="00C94403" w14:textId="77777777" w:rsidR="00993885" w:rsidRPr="00993885" w:rsidRDefault="00993885" w:rsidP="007B58CF">
            <w:pPr>
              <w:pStyle w:val="ListParagraph"/>
              <w:numPr>
                <w:ilvl w:val="0"/>
                <w:numId w:val="4"/>
              </w:numPr>
            </w:pPr>
            <w:r w:rsidRPr="00993885">
              <w:t xml:space="preserve">Currently suffering from the minor ailment which is included in the service and agree to sharing details of the consultation with their registered GP. People must consent to sharing their details and the consultation with their registered GP. </w:t>
            </w:r>
          </w:p>
          <w:p w14:paraId="4442DDDD" w14:textId="77777777" w:rsidR="00993885" w:rsidRPr="00993885" w:rsidRDefault="00993885" w:rsidP="007B58CF">
            <w:pPr>
              <w:pStyle w:val="ListParagraph"/>
              <w:numPr>
                <w:ilvl w:val="0"/>
                <w:numId w:val="4"/>
              </w:numPr>
            </w:pPr>
            <w:r w:rsidRPr="00993885">
              <w:t>Present in the pharmacy - It is preferred that the person is present in the pharmacy to facilitate a comprehensive consultation. However, where the person is unable to attend the pharmacy, for example people living in residential care, the pharmacist can choose to supply a medicine under “Pharmacy First” as long as they are confident that they have all the necessary information and that supplying is in the person’s best interests.</w:t>
            </w:r>
            <w:r w:rsidR="00BF0B54">
              <w:t xml:space="preserve"> Please remind the care provider that they must document in the person’s daily record or care plan any items supplied under Pharmacy First.</w:t>
            </w:r>
          </w:p>
          <w:p w14:paraId="544638A8" w14:textId="77777777" w:rsidR="00172D8B" w:rsidRDefault="00993885" w:rsidP="007B58CF">
            <w:pPr>
              <w:pStyle w:val="ListParagraph"/>
              <w:numPr>
                <w:ilvl w:val="0"/>
                <w:numId w:val="4"/>
              </w:numPr>
            </w:pPr>
            <w:r w:rsidRPr="00993885">
              <w:t>Provides evidence that of exemption from prescription charges - Only those people exempt from prescription charges due to age, or financial criteria (</w:t>
            </w:r>
            <w:r w:rsidR="00BF0B54">
              <w:t xml:space="preserve">and </w:t>
            </w:r>
            <w:r w:rsidRPr="00993885">
              <w:t xml:space="preserve">this does include prepayment certificates) are eligible to use the “Pharmacy First” service. </w:t>
            </w:r>
          </w:p>
          <w:p w14:paraId="24F87460" w14:textId="77777777" w:rsidR="00E64EA7" w:rsidRDefault="002D6C33" w:rsidP="007B58CF">
            <w:pPr>
              <w:pStyle w:val="ListParagraph"/>
              <w:numPr>
                <w:ilvl w:val="0"/>
                <w:numId w:val="4"/>
              </w:numPr>
            </w:pPr>
            <w:r>
              <w:t>Genuinely u</w:t>
            </w:r>
            <w:r w:rsidR="00E64EA7">
              <w:t xml:space="preserve">nable to buy the recommended </w:t>
            </w:r>
            <w:r>
              <w:t>medicine</w:t>
            </w:r>
            <w:r w:rsidR="00E64EA7">
              <w:t xml:space="preserve"> themselves OTC.</w:t>
            </w:r>
          </w:p>
          <w:p w14:paraId="6A955D91" w14:textId="77777777" w:rsidR="0046770D" w:rsidRPr="0046770D" w:rsidRDefault="0046770D" w:rsidP="007B58CF">
            <w:pPr>
              <w:pStyle w:val="ListParagraph"/>
              <w:numPr>
                <w:ilvl w:val="0"/>
                <w:numId w:val="4"/>
              </w:numPr>
            </w:pPr>
            <w:r w:rsidRPr="0046770D">
              <w:t xml:space="preserve">Agree to sharing details of the consultation with their registered GP. Patients must consent to sharing their details and the consultation with their registered GP. The consent can be verbal and will be recorded on </w:t>
            </w:r>
            <w:proofErr w:type="spellStart"/>
            <w:r w:rsidR="007D68FA">
              <w:t>PharmOutcomes</w:t>
            </w:r>
            <w:proofErr w:type="spellEnd"/>
            <w:r w:rsidR="007D68FA">
              <w:t>®</w:t>
            </w:r>
            <w:r w:rsidRPr="0046770D">
              <w:t xml:space="preserve"> as part of the consultation process.</w:t>
            </w:r>
          </w:p>
          <w:p w14:paraId="7F336395" w14:textId="77777777" w:rsidR="0046770D" w:rsidRPr="00993885" w:rsidRDefault="0046770D" w:rsidP="0046770D">
            <w:pPr>
              <w:pStyle w:val="ListParagraph"/>
              <w:ind w:left="720"/>
            </w:pPr>
          </w:p>
          <w:p w14:paraId="71803826" w14:textId="77777777" w:rsidR="0046770D" w:rsidRDefault="00172D8B" w:rsidP="0046770D">
            <w:pPr>
              <w:jc w:val="left"/>
            </w:pPr>
            <w:r w:rsidRPr="00F263D2">
              <w:t>The following conditions are included within the Pharmacy First service</w:t>
            </w:r>
            <w:r w:rsidR="0046770D">
              <w:t xml:space="preserve"> and </w:t>
            </w:r>
            <w:r w:rsidR="0046770D" w:rsidRPr="004B6269">
              <w:t>formulary products can be used for any of their license</w:t>
            </w:r>
            <w:r w:rsidR="0046770D">
              <w:t>d indications at licensed doses: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2"/>
              <w:gridCol w:w="3285"/>
              <w:gridCol w:w="2879"/>
            </w:tblGrid>
            <w:tr w:rsidR="001B2A35" w:rsidRPr="00560471" w14:paraId="463C5DB9" w14:textId="77777777" w:rsidTr="00CB01E5">
              <w:tc>
                <w:tcPr>
                  <w:tcW w:w="2852" w:type="dxa"/>
                  <w:shd w:val="clear" w:color="auto" w:fill="auto"/>
                </w:tcPr>
                <w:p w14:paraId="5EF6EEBB" w14:textId="77777777" w:rsidR="001B2A35" w:rsidRPr="0007089A" w:rsidRDefault="001B2A35" w:rsidP="00026FDF">
                  <w:r w:rsidRPr="0007089A">
                    <w:t>Allergies - Contact/</w:t>
                  </w:r>
                  <w:proofErr w:type="spellStart"/>
                  <w:r w:rsidRPr="0007089A">
                    <w:t>Hayfever</w:t>
                  </w:r>
                  <w:proofErr w:type="spellEnd"/>
                </w:p>
              </w:tc>
              <w:tc>
                <w:tcPr>
                  <w:tcW w:w="3285" w:type="dxa"/>
                  <w:shd w:val="clear" w:color="auto" w:fill="auto"/>
                </w:tcPr>
                <w:p w14:paraId="42316F8C" w14:textId="77777777" w:rsidR="001B2A35" w:rsidRPr="003E0E8F" w:rsidRDefault="001B2A35" w:rsidP="00B84677">
                  <w:proofErr w:type="spellStart"/>
                  <w:r w:rsidRPr="003E0E8F">
                    <w:t>Haemorrhoids</w:t>
                  </w:r>
                  <w:proofErr w:type="spellEnd"/>
                  <w:r w:rsidRPr="003E0E8F">
                    <w:t xml:space="preserve"> </w:t>
                  </w:r>
                </w:p>
              </w:tc>
              <w:tc>
                <w:tcPr>
                  <w:tcW w:w="2879" w:type="dxa"/>
                </w:tcPr>
                <w:p w14:paraId="7D91321C" w14:textId="77777777" w:rsidR="001B2A35" w:rsidRPr="00560471" w:rsidRDefault="001B2A35" w:rsidP="00DC68C1">
                  <w:r w:rsidRPr="001B2A35">
                    <w:t>Mouth ulcers</w:t>
                  </w:r>
                </w:p>
              </w:tc>
            </w:tr>
            <w:tr w:rsidR="001B2A35" w:rsidRPr="00560471" w14:paraId="7761CDEA" w14:textId="77777777" w:rsidTr="00CB01E5">
              <w:trPr>
                <w:trHeight w:val="459"/>
              </w:trPr>
              <w:tc>
                <w:tcPr>
                  <w:tcW w:w="2852" w:type="dxa"/>
                  <w:shd w:val="clear" w:color="auto" w:fill="auto"/>
                </w:tcPr>
                <w:p w14:paraId="14E45E4C" w14:textId="77777777" w:rsidR="001B2A35" w:rsidRPr="0007089A" w:rsidRDefault="001B2A35" w:rsidP="00026FDF">
                  <w:r w:rsidRPr="0007089A">
                    <w:t>Cold sores</w:t>
                  </w:r>
                </w:p>
              </w:tc>
              <w:tc>
                <w:tcPr>
                  <w:tcW w:w="3285" w:type="dxa"/>
                  <w:shd w:val="clear" w:color="auto" w:fill="auto"/>
                </w:tcPr>
                <w:p w14:paraId="18024627" w14:textId="77777777" w:rsidR="001B2A35" w:rsidRPr="003E0E8F" w:rsidRDefault="001B2A35" w:rsidP="001B2A35">
                  <w:r w:rsidRPr="003E0E8F">
                    <w:t>Headache</w:t>
                  </w:r>
                </w:p>
              </w:tc>
              <w:tc>
                <w:tcPr>
                  <w:tcW w:w="2879" w:type="dxa"/>
                </w:tcPr>
                <w:p w14:paraId="2A4A1704" w14:textId="77777777" w:rsidR="001B2A35" w:rsidRPr="00560471" w:rsidRDefault="001B2A35" w:rsidP="00B84677">
                  <w:r w:rsidRPr="00560471">
                    <w:t xml:space="preserve">Musculoskeletal pain &amp; Soft tissue injury </w:t>
                  </w:r>
                </w:p>
              </w:tc>
            </w:tr>
            <w:tr w:rsidR="001B2A35" w:rsidRPr="00560471" w14:paraId="3532FBD9" w14:textId="77777777" w:rsidTr="00CB01E5">
              <w:tc>
                <w:tcPr>
                  <w:tcW w:w="2852" w:type="dxa"/>
                  <w:shd w:val="clear" w:color="auto" w:fill="auto"/>
                </w:tcPr>
                <w:p w14:paraId="7E258590" w14:textId="77777777" w:rsidR="001B2A35" w:rsidRPr="0007089A" w:rsidRDefault="001B2A35" w:rsidP="00026FDF">
                  <w:r w:rsidRPr="0007089A">
                    <w:t xml:space="preserve">Conjunctivitis </w:t>
                  </w:r>
                </w:p>
              </w:tc>
              <w:tc>
                <w:tcPr>
                  <w:tcW w:w="3285" w:type="dxa"/>
                  <w:shd w:val="clear" w:color="auto" w:fill="auto"/>
                </w:tcPr>
                <w:p w14:paraId="0081D363" w14:textId="77777777" w:rsidR="001B2A35" w:rsidRPr="003E0E8F" w:rsidRDefault="001B2A35" w:rsidP="00B66036">
                  <w:r w:rsidRPr="003E0E8F">
                    <w:t>Headlice/Scabies/Worms</w:t>
                  </w:r>
                </w:p>
              </w:tc>
              <w:tc>
                <w:tcPr>
                  <w:tcW w:w="2879" w:type="dxa"/>
                </w:tcPr>
                <w:p w14:paraId="0F972A00" w14:textId="77777777" w:rsidR="001B2A35" w:rsidRPr="00560471" w:rsidRDefault="001B2A35" w:rsidP="002D6C33">
                  <w:pPr>
                    <w:jc w:val="left"/>
                  </w:pPr>
                  <w:r w:rsidRPr="0046770D">
                    <w:t xml:space="preserve">Paediatric </w:t>
                  </w:r>
                  <w:r>
                    <w:t>fever/teething/pain</w:t>
                  </w:r>
                </w:p>
              </w:tc>
            </w:tr>
            <w:tr w:rsidR="001B2A35" w:rsidRPr="00560471" w14:paraId="599DD6B9" w14:textId="77777777" w:rsidTr="00CB01E5">
              <w:tc>
                <w:tcPr>
                  <w:tcW w:w="2852" w:type="dxa"/>
                  <w:shd w:val="clear" w:color="auto" w:fill="auto"/>
                </w:tcPr>
                <w:p w14:paraId="7FF47B7F" w14:textId="77777777" w:rsidR="001B2A35" w:rsidRPr="0007089A" w:rsidRDefault="001B2A35" w:rsidP="00026FDF">
                  <w:r w:rsidRPr="0007089A">
                    <w:t>Cramps associated with IBS</w:t>
                  </w:r>
                </w:p>
              </w:tc>
              <w:tc>
                <w:tcPr>
                  <w:tcW w:w="3285" w:type="dxa"/>
                  <w:shd w:val="clear" w:color="auto" w:fill="auto"/>
                </w:tcPr>
                <w:p w14:paraId="6132C084" w14:textId="77777777" w:rsidR="001B2A35" w:rsidRPr="002B6E8E" w:rsidRDefault="001B2A35" w:rsidP="00CB01E5">
                  <w:pPr>
                    <w:jc w:val="left"/>
                    <w:rPr>
                      <w:strike/>
                    </w:rPr>
                  </w:pPr>
                  <w:r w:rsidRPr="00560471">
                    <w:t>Impetigo</w:t>
                  </w:r>
                  <w:r>
                    <w:t xml:space="preserve"> [PGD]</w:t>
                  </w:r>
                </w:p>
              </w:tc>
              <w:tc>
                <w:tcPr>
                  <w:tcW w:w="2879" w:type="dxa"/>
                </w:tcPr>
                <w:p w14:paraId="73107678" w14:textId="77777777" w:rsidR="001B2A35" w:rsidRPr="00D50CAA" w:rsidRDefault="001B2A35" w:rsidP="0095349A">
                  <w:r w:rsidRPr="00D50CAA">
                    <w:t xml:space="preserve">Sore throat </w:t>
                  </w:r>
                  <w:r>
                    <w:t xml:space="preserve">/ Oral </w:t>
                  </w:r>
                  <w:proofErr w:type="spellStart"/>
                  <w:r>
                    <w:t>Thursh</w:t>
                  </w:r>
                  <w:proofErr w:type="spellEnd"/>
                </w:p>
              </w:tc>
            </w:tr>
            <w:tr w:rsidR="001B2A35" w:rsidRPr="00560471" w14:paraId="032A5487" w14:textId="77777777" w:rsidTr="002D6C33">
              <w:trPr>
                <w:trHeight w:val="481"/>
              </w:trPr>
              <w:tc>
                <w:tcPr>
                  <w:tcW w:w="2852" w:type="dxa"/>
                  <w:shd w:val="clear" w:color="auto" w:fill="auto"/>
                </w:tcPr>
                <w:p w14:paraId="17435E3C" w14:textId="77777777" w:rsidR="001B2A35" w:rsidRPr="0007089A" w:rsidRDefault="001B2A35" w:rsidP="00026FDF">
                  <w:r w:rsidRPr="0007089A">
                    <w:t xml:space="preserve">Earwax </w:t>
                  </w:r>
                </w:p>
              </w:tc>
              <w:tc>
                <w:tcPr>
                  <w:tcW w:w="3285" w:type="dxa"/>
                  <w:shd w:val="clear" w:color="auto" w:fill="auto"/>
                </w:tcPr>
                <w:p w14:paraId="0E82F446" w14:textId="77777777" w:rsidR="001B2A35" w:rsidRPr="00560471" w:rsidRDefault="001B2A35" w:rsidP="00DC68C1">
                  <w:r w:rsidRPr="00560471">
                    <w:t>Indigestion/Constipation/</w:t>
                  </w:r>
                  <w:proofErr w:type="spellStart"/>
                  <w:r w:rsidRPr="00560471">
                    <w:t>Diarrhoea</w:t>
                  </w:r>
                  <w:proofErr w:type="spellEnd"/>
                </w:p>
              </w:tc>
              <w:tc>
                <w:tcPr>
                  <w:tcW w:w="2879" w:type="dxa"/>
                </w:tcPr>
                <w:p w14:paraId="50E1D80D" w14:textId="77777777" w:rsidR="001B2A35" w:rsidRPr="00D50CAA" w:rsidRDefault="001B2A35" w:rsidP="002D6C33">
                  <w:r>
                    <w:t>Uncomplicated UTI in women [PGD]</w:t>
                  </w:r>
                </w:p>
              </w:tc>
            </w:tr>
            <w:tr w:rsidR="001B2A35" w:rsidRPr="00560471" w14:paraId="18B18625" w14:textId="77777777" w:rsidTr="00CB01E5">
              <w:tc>
                <w:tcPr>
                  <w:tcW w:w="2852" w:type="dxa"/>
                  <w:shd w:val="clear" w:color="auto" w:fill="auto"/>
                </w:tcPr>
                <w:p w14:paraId="09F95E71" w14:textId="77777777" w:rsidR="001B2A35" w:rsidRDefault="001B2A35" w:rsidP="00026FDF">
                  <w:r w:rsidRPr="0007089A">
                    <w:t>Fungal Skin Infections</w:t>
                  </w:r>
                </w:p>
              </w:tc>
              <w:tc>
                <w:tcPr>
                  <w:tcW w:w="3285" w:type="dxa"/>
                  <w:shd w:val="clear" w:color="auto" w:fill="auto"/>
                </w:tcPr>
                <w:p w14:paraId="3EA8CCA6" w14:textId="77777777" w:rsidR="001B2A35" w:rsidRPr="00560471" w:rsidRDefault="001B2A35" w:rsidP="00DC68C1">
                  <w:r w:rsidRPr="00560471">
                    <w:t>Insect bites and stings</w:t>
                  </w:r>
                </w:p>
              </w:tc>
              <w:tc>
                <w:tcPr>
                  <w:tcW w:w="2879" w:type="dxa"/>
                </w:tcPr>
                <w:p w14:paraId="6CBFE498" w14:textId="77777777" w:rsidR="001B2A35" w:rsidRPr="00D50CAA" w:rsidRDefault="001B2A35" w:rsidP="002D6C33">
                  <w:r>
                    <w:t>Vaginal thrush</w:t>
                  </w:r>
                </w:p>
              </w:tc>
            </w:tr>
            <w:tr w:rsidR="00B84677" w:rsidRPr="00560471" w14:paraId="2B3FC905" w14:textId="77777777" w:rsidTr="00CB01E5">
              <w:tc>
                <w:tcPr>
                  <w:tcW w:w="2852" w:type="dxa"/>
                  <w:shd w:val="clear" w:color="auto" w:fill="auto"/>
                </w:tcPr>
                <w:p w14:paraId="6D73F4B5" w14:textId="77777777" w:rsidR="00B84677" w:rsidRPr="00560471" w:rsidRDefault="00B84677" w:rsidP="00290E66"/>
              </w:tc>
              <w:tc>
                <w:tcPr>
                  <w:tcW w:w="3285" w:type="dxa"/>
                  <w:shd w:val="clear" w:color="auto" w:fill="auto"/>
                </w:tcPr>
                <w:p w14:paraId="147FB799" w14:textId="77777777" w:rsidR="00B84677" w:rsidRPr="00560471" w:rsidRDefault="00B84677" w:rsidP="00DC68C1">
                  <w:r w:rsidRPr="00560471">
                    <w:t>Minor burns and scalds</w:t>
                  </w:r>
                  <w:r w:rsidRPr="00560471" w:rsidDel="00BD0662">
                    <w:t xml:space="preserve"> </w:t>
                  </w:r>
                </w:p>
              </w:tc>
              <w:tc>
                <w:tcPr>
                  <w:tcW w:w="2879" w:type="dxa"/>
                </w:tcPr>
                <w:p w14:paraId="02B3152B" w14:textId="77777777" w:rsidR="00B84677" w:rsidRDefault="00B84677" w:rsidP="0095349A">
                  <w:r w:rsidRPr="00D50CAA">
                    <w:t>Warts/Verrucae</w:t>
                  </w:r>
                </w:p>
              </w:tc>
            </w:tr>
          </w:tbl>
          <w:p w14:paraId="490F99B6" w14:textId="77777777" w:rsidR="001B2A35" w:rsidRPr="00F263D2" w:rsidRDefault="001B2A35" w:rsidP="004C2506">
            <w:pPr>
              <w:pStyle w:val="ListParagraph"/>
              <w:ind w:left="360"/>
            </w:pPr>
          </w:p>
          <w:p w14:paraId="7688C43D" w14:textId="77777777" w:rsidR="00172D8B" w:rsidRPr="00084A0F" w:rsidRDefault="00172D8B" w:rsidP="004C2506">
            <w:pPr>
              <w:spacing w:after="0"/>
              <w:rPr>
                <w:rFonts w:cs="Arial"/>
                <w:b/>
                <w:lang w:val="en-GB"/>
              </w:rPr>
            </w:pPr>
            <w:r w:rsidRPr="00084A0F">
              <w:rPr>
                <w:rFonts w:cs="Arial"/>
                <w:b/>
                <w:lang w:val="en-GB"/>
              </w:rPr>
              <w:t>3.4.2 Exclusion Criteria</w:t>
            </w:r>
          </w:p>
          <w:p w14:paraId="77DD524A" w14:textId="77777777" w:rsidR="007B58CF" w:rsidRPr="008C14A0" w:rsidRDefault="007B58CF" w:rsidP="007B58CF">
            <w:pPr>
              <w:pStyle w:val="ListParagraph"/>
              <w:numPr>
                <w:ilvl w:val="0"/>
                <w:numId w:val="4"/>
              </w:numPr>
              <w:contextualSpacing w:val="0"/>
              <w:jc w:val="left"/>
              <w:rPr>
                <w:rFonts w:eastAsiaTheme="minorHAnsi"/>
                <w:lang w:val="en-US"/>
              </w:rPr>
            </w:pPr>
            <w:r>
              <w:rPr>
                <w:rFonts w:eastAsiaTheme="minorHAnsi"/>
                <w:lang w:val="en-US"/>
              </w:rPr>
              <w:t>Not r</w:t>
            </w:r>
            <w:r w:rsidRPr="008C14A0">
              <w:rPr>
                <w:rFonts w:eastAsiaTheme="minorHAnsi"/>
                <w:lang w:val="en-US"/>
              </w:rPr>
              <w:t>egistered with a UK GP</w:t>
            </w:r>
          </w:p>
          <w:p w14:paraId="00AAE416" w14:textId="77777777" w:rsidR="00993885" w:rsidRDefault="00993885" w:rsidP="007B58CF">
            <w:pPr>
              <w:pStyle w:val="ListParagraph"/>
              <w:numPr>
                <w:ilvl w:val="0"/>
                <w:numId w:val="4"/>
              </w:numPr>
            </w:pPr>
            <w:r w:rsidRPr="007368D5">
              <w:t>P</w:t>
            </w:r>
            <w:r>
              <w:t>eople</w:t>
            </w:r>
            <w:r w:rsidRPr="007368D5">
              <w:t xml:space="preserve"> who do not currently have a minor ailment</w:t>
            </w:r>
            <w:r>
              <w:t xml:space="preserve"> -</w:t>
            </w:r>
            <w:r w:rsidRPr="007368D5">
              <w:t xml:space="preserve"> </w:t>
            </w:r>
            <w:r>
              <w:t>T</w:t>
            </w:r>
            <w:r w:rsidRPr="007368D5">
              <w:t>he service does not allow supply of medicines for future use.</w:t>
            </w:r>
          </w:p>
          <w:p w14:paraId="36FCD591" w14:textId="77777777" w:rsidR="001E593E" w:rsidRDefault="002D6C33" w:rsidP="007B58CF">
            <w:pPr>
              <w:pStyle w:val="ListParagraph"/>
              <w:numPr>
                <w:ilvl w:val="0"/>
                <w:numId w:val="4"/>
              </w:numPr>
            </w:pPr>
            <w:r w:rsidRPr="001B2A35">
              <w:t xml:space="preserve">CPCS referrals – unless </w:t>
            </w:r>
            <w:r w:rsidR="001E593E">
              <w:t xml:space="preserve">genuinely </w:t>
            </w:r>
            <w:r w:rsidRPr="001B2A35">
              <w:t xml:space="preserve">unable to </w:t>
            </w:r>
            <w:r w:rsidR="001E593E">
              <w:t>self-care and buy</w:t>
            </w:r>
            <w:r w:rsidRPr="001B2A35">
              <w:t xml:space="preserve"> OTC.</w:t>
            </w:r>
            <w:r w:rsidR="0032499F">
              <w:t xml:space="preserve"> </w:t>
            </w:r>
          </w:p>
          <w:p w14:paraId="1C99F0A6" w14:textId="77777777" w:rsidR="00FB35FB" w:rsidRPr="001B2A35" w:rsidRDefault="00FB35FB" w:rsidP="007B58CF">
            <w:pPr>
              <w:pStyle w:val="ListParagraph"/>
              <w:numPr>
                <w:ilvl w:val="0"/>
                <w:numId w:val="4"/>
              </w:numPr>
            </w:pPr>
            <w:r w:rsidRPr="001B2A35">
              <w:t xml:space="preserve">People who </w:t>
            </w:r>
            <w:r w:rsidR="002D6C33" w:rsidRPr="001B2A35">
              <w:t>need a POM medicine.</w:t>
            </w:r>
          </w:p>
          <w:p w14:paraId="58B1CE7E" w14:textId="77777777" w:rsidR="00993885" w:rsidRDefault="00993885" w:rsidP="007B58CF">
            <w:pPr>
              <w:pStyle w:val="ListParagraph"/>
              <w:numPr>
                <w:ilvl w:val="0"/>
                <w:numId w:val="4"/>
              </w:numPr>
            </w:pPr>
            <w:r>
              <w:t>People</w:t>
            </w:r>
            <w:r w:rsidRPr="00927DA8">
              <w:t xml:space="preserve"> </w:t>
            </w:r>
            <w:r w:rsidRPr="007368D5">
              <w:t xml:space="preserve">that </w:t>
            </w:r>
            <w:r>
              <w:t>pay prescription charges</w:t>
            </w:r>
            <w:r w:rsidR="00BF0B54">
              <w:t xml:space="preserve"> and no pre-payment certificate </w:t>
            </w:r>
            <w:r>
              <w:t>-</w:t>
            </w:r>
            <w:r w:rsidRPr="007368D5">
              <w:t xml:space="preserve"> </w:t>
            </w:r>
            <w:r>
              <w:t>P</w:t>
            </w:r>
            <w:r w:rsidRPr="007368D5">
              <w:t xml:space="preserve">rovide </w:t>
            </w:r>
            <w:r w:rsidR="001E593E">
              <w:t xml:space="preserve">self-care </w:t>
            </w:r>
            <w:r w:rsidRPr="007368D5">
              <w:t>advice and sell OTC medicines to help manage the minor ailment.</w:t>
            </w:r>
          </w:p>
          <w:p w14:paraId="384BAED6" w14:textId="77777777" w:rsidR="00993885" w:rsidRDefault="00993885" w:rsidP="007B58CF">
            <w:pPr>
              <w:pStyle w:val="ListParagraph"/>
              <w:numPr>
                <w:ilvl w:val="0"/>
                <w:numId w:val="4"/>
              </w:numPr>
            </w:pPr>
            <w:r>
              <w:t>People</w:t>
            </w:r>
            <w:r w:rsidRPr="00753305">
              <w:t xml:space="preserve"> not registered with a </w:t>
            </w:r>
            <w:r>
              <w:t>UK GP - O</w:t>
            </w:r>
            <w:r w:rsidRPr="00753305">
              <w:t xml:space="preserve">ffer advice and </w:t>
            </w:r>
            <w:r>
              <w:t>option</w:t>
            </w:r>
            <w:r w:rsidRPr="00753305">
              <w:t xml:space="preserve"> to purch</w:t>
            </w:r>
            <w:r>
              <w:t>ase an appropriate medicine for self-management.</w:t>
            </w:r>
            <w:r w:rsidRPr="004C5D33">
              <w:t xml:space="preserve"> </w:t>
            </w:r>
            <w:r>
              <w:t>I</w:t>
            </w:r>
            <w:r w:rsidRPr="00753305">
              <w:t xml:space="preserve">f </w:t>
            </w:r>
            <w:r>
              <w:t>a GP appointment is required</w:t>
            </w:r>
            <w:r w:rsidRPr="004C5D33">
              <w:t xml:space="preserve"> </w:t>
            </w:r>
            <w:r>
              <w:t xml:space="preserve">people can </w:t>
            </w:r>
            <w:r w:rsidRPr="00753305">
              <w:t xml:space="preserve"> contact </w:t>
            </w:r>
            <w:r>
              <w:t>a</w:t>
            </w:r>
            <w:r w:rsidRPr="00753305">
              <w:t xml:space="preserve"> GP</w:t>
            </w:r>
            <w:r>
              <w:t>/111</w:t>
            </w:r>
            <w:r w:rsidRPr="00753305">
              <w:t xml:space="preserve"> </w:t>
            </w:r>
            <w:r>
              <w:t>as a temporary resident</w:t>
            </w:r>
          </w:p>
          <w:p w14:paraId="4A7F1345" w14:textId="77777777" w:rsidR="00172D8B" w:rsidRDefault="00993885" w:rsidP="007B58CF">
            <w:pPr>
              <w:pStyle w:val="ListParagraph"/>
              <w:numPr>
                <w:ilvl w:val="0"/>
                <w:numId w:val="4"/>
              </w:numPr>
            </w:pPr>
            <w:r>
              <w:t xml:space="preserve">People who are frequent users of the service for the same minor ailments </w:t>
            </w:r>
          </w:p>
          <w:p w14:paraId="08131B81" w14:textId="77777777" w:rsidR="007B58CF" w:rsidRPr="00A810D5" w:rsidRDefault="007B58CF" w:rsidP="007B58CF">
            <w:pPr>
              <w:spacing w:after="0"/>
              <w:rPr>
                <w:rFonts w:cs="Arial"/>
              </w:rPr>
            </w:pPr>
          </w:p>
          <w:p w14:paraId="6012EABE" w14:textId="77777777" w:rsidR="007B58CF" w:rsidRPr="00666D0A" w:rsidRDefault="007B58CF" w:rsidP="007B58CF">
            <w:pPr>
              <w:spacing w:after="0"/>
              <w:rPr>
                <w:rFonts w:cs="Arial"/>
                <w:b/>
                <w:lang w:val="en-GB"/>
              </w:rPr>
            </w:pPr>
            <w:r w:rsidRPr="00666D0A">
              <w:rPr>
                <w:rFonts w:cs="Arial"/>
                <w:b/>
              </w:rPr>
              <w:t>Pharmacy</w:t>
            </w:r>
            <w:r w:rsidRPr="00666D0A">
              <w:rPr>
                <w:rFonts w:cs="Arial"/>
                <w:b/>
                <w:lang w:val="en-GB"/>
              </w:rPr>
              <w:t xml:space="preserve"> </w:t>
            </w:r>
            <w:r w:rsidRPr="00666D0A">
              <w:rPr>
                <w:rFonts w:cs="Arial"/>
                <w:b/>
              </w:rPr>
              <w:t xml:space="preserve">Consultation </w:t>
            </w:r>
            <w:r w:rsidRPr="00666D0A">
              <w:rPr>
                <w:rFonts w:cs="Arial"/>
                <w:b/>
                <w:lang w:val="en-GB"/>
              </w:rPr>
              <w:t xml:space="preserve"> </w:t>
            </w:r>
          </w:p>
          <w:p w14:paraId="50C474C8" w14:textId="77777777" w:rsidR="007B58CF" w:rsidRDefault="007B58CF" w:rsidP="007B58CF">
            <w:pPr>
              <w:spacing w:after="0"/>
              <w:rPr>
                <w:rFonts w:cs="Arial"/>
                <w:lang w:val="en-GB"/>
              </w:rPr>
            </w:pPr>
            <w:r>
              <w:rPr>
                <w:rFonts w:cs="Arial"/>
                <w:lang w:val="en-GB"/>
              </w:rPr>
              <w:t>The Pharmacy First consultation may be provided by appropriately trained pharmacists or pharmacy technicians</w:t>
            </w:r>
            <w:r>
              <w:t>/dispensers</w:t>
            </w:r>
            <w:r>
              <w:rPr>
                <w:rFonts w:cs="Arial"/>
                <w:lang w:val="en-GB"/>
              </w:rPr>
              <w:t xml:space="preserve"> working under the direct supervision of the pharmacist. A private consultation room should be available and offered as appropriate.</w:t>
            </w:r>
          </w:p>
          <w:p w14:paraId="1BC0FCDE" w14:textId="77777777" w:rsidR="007B58CF" w:rsidRDefault="007B58CF" w:rsidP="007B58CF">
            <w:pPr>
              <w:spacing w:after="0"/>
              <w:rPr>
                <w:rFonts w:cs="Arial"/>
                <w:lang w:val="en-GB"/>
              </w:rPr>
            </w:pPr>
          </w:p>
          <w:p w14:paraId="55B18CD1" w14:textId="77777777" w:rsidR="007B58CF" w:rsidRDefault="007B58CF" w:rsidP="007B58CF">
            <w:pPr>
              <w:spacing w:after="0"/>
            </w:pPr>
            <w:r w:rsidRPr="00384B61">
              <w:rPr>
                <w:lang w:val="en-GB" w:eastAsia="en-US"/>
              </w:rPr>
              <w:t xml:space="preserve">The </w:t>
            </w:r>
            <w:r>
              <w:rPr>
                <w:lang w:val="en-GB" w:eastAsia="en-US"/>
              </w:rPr>
              <w:t>person</w:t>
            </w:r>
            <w:r w:rsidRPr="00384B61">
              <w:rPr>
                <w:lang w:val="en-GB" w:eastAsia="en-US"/>
              </w:rPr>
              <w:t xml:space="preserve">’s condition </w:t>
            </w:r>
            <w:r>
              <w:rPr>
                <w:lang w:val="en-GB" w:eastAsia="en-US"/>
              </w:rPr>
              <w:t xml:space="preserve">will be assessed </w:t>
            </w:r>
            <w:r w:rsidRPr="00384B61">
              <w:rPr>
                <w:lang w:val="en-GB" w:eastAsia="en-US"/>
              </w:rPr>
              <w:t xml:space="preserve">using a structured approach </w:t>
            </w:r>
            <w:r>
              <w:rPr>
                <w:lang w:val="en-GB" w:eastAsia="en-US"/>
              </w:rPr>
              <w:t xml:space="preserve">(e.g. WWHAM questions) </w:t>
            </w:r>
            <w:r w:rsidRPr="00384B61">
              <w:rPr>
                <w:lang w:val="en-GB" w:eastAsia="en-US"/>
              </w:rPr>
              <w:t xml:space="preserve">to responding to symptoms. </w:t>
            </w:r>
          </w:p>
          <w:p w14:paraId="1774024C" w14:textId="77777777" w:rsidR="007B58CF" w:rsidRPr="005C6F8A" w:rsidRDefault="007B58CF" w:rsidP="007B58CF">
            <w:pPr>
              <w:pStyle w:val="ListParagraph"/>
              <w:ind w:left="720"/>
            </w:pPr>
          </w:p>
          <w:p w14:paraId="5888E551" w14:textId="77777777" w:rsidR="007B58CF" w:rsidRPr="00384B61" w:rsidRDefault="007B58CF" w:rsidP="007B58CF">
            <w:pPr>
              <w:rPr>
                <w:lang w:val="en-GB" w:eastAsia="en-US"/>
              </w:rPr>
            </w:pPr>
            <w:r w:rsidRPr="00384B61">
              <w:rPr>
                <w:lang w:val="en-GB" w:eastAsia="en-US"/>
              </w:rPr>
              <w:t>The pharmac</w:t>
            </w:r>
            <w:r>
              <w:rPr>
                <w:lang w:val="en-GB" w:eastAsia="en-US"/>
              </w:rPr>
              <w:t>y staff</w:t>
            </w:r>
            <w:r w:rsidRPr="00384B61">
              <w:rPr>
                <w:lang w:val="en-GB" w:eastAsia="en-US"/>
              </w:rPr>
              <w:t xml:space="preserve"> will use their professional judgement to determine the most appropriate course of action for the patient.</w:t>
            </w:r>
          </w:p>
          <w:p w14:paraId="16D227C0" w14:textId="77777777" w:rsidR="007B58CF" w:rsidRPr="00993885" w:rsidRDefault="007B58CF" w:rsidP="007B58CF">
            <w:pPr>
              <w:pStyle w:val="Heading3"/>
              <w:numPr>
                <w:ilvl w:val="0"/>
                <w:numId w:val="0"/>
              </w:numPr>
              <w:rPr>
                <w:rFonts w:eastAsia="Calibri"/>
                <w:lang w:eastAsia="en-US"/>
              </w:rPr>
            </w:pPr>
            <w:r w:rsidRPr="00993885">
              <w:rPr>
                <w:rFonts w:eastAsia="Calibri"/>
                <w:lang w:eastAsia="en-US"/>
              </w:rPr>
              <w:t xml:space="preserve">Advice </w:t>
            </w:r>
          </w:p>
          <w:p w14:paraId="174BA3A1" w14:textId="77777777" w:rsidR="007B58CF" w:rsidRDefault="007B58CF" w:rsidP="007B58CF">
            <w:pPr>
              <w:pStyle w:val="ListParagraph"/>
              <w:numPr>
                <w:ilvl w:val="0"/>
                <w:numId w:val="5"/>
              </w:numPr>
            </w:pPr>
            <w:r w:rsidRPr="00917AE5">
              <w:t>Provide information on symptoms</w:t>
            </w:r>
            <w:r>
              <w:t xml:space="preserve"> – when to seek medical advice</w:t>
            </w:r>
          </w:p>
          <w:p w14:paraId="4BD117C7" w14:textId="77777777" w:rsidR="007B58CF" w:rsidRDefault="007B58CF" w:rsidP="007B58CF">
            <w:pPr>
              <w:pStyle w:val="ListParagraph"/>
              <w:numPr>
                <w:ilvl w:val="0"/>
                <w:numId w:val="5"/>
              </w:numPr>
            </w:pPr>
            <w:r>
              <w:t>P</w:t>
            </w:r>
            <w:r w:rsidRPr="00917AE5">
              <w:t xml:space="preserve">romote self-care messages </w:t>
            </w:r>
          </w:p>
          <w:p w14:paraId="2F8A014A" w14:textId="77777777" w:rsidR="007B58CF" w:rsidRDefault="007B58CF" w:rsidP="007B58CF">
            <w:pPr>
              <w:pStyle w:val="Heading3"/>
              <w:numPr>
                <w:ilvl w:val="0"/>
                <w:numId w:val="0"/>
              </w:numPr>
            </w:pPr>
          </w:p>
          <w:p w14:paraId="5C603F1C" w14:textId="77777777" w:rsidR="007B58CF" w:rsidRPr="00993885" w:rsidRDefault="007B58CF" w:rsidP="007B58CF">
            <w:pPr>
              <w:pStyle w:val="Heading3"/>
              <w:numPr>
                <w:ilvl w:val="0"/>
                <w:numId w:val="0"/>
              </w:numPr>
            </w:pPr>
            <w:r w:rsidRPr="00993885">
              <w:rPr>
                <w:rFonts w:eastAsia="Calibri"/>
                <w:lang w:eastAsia="en-US"/>
              </w:rPr>
              <w:t>Supply of medication from the Pharmacy First formulary</w:t>
            </w:r>
          </w:p>
          <w:p w14:paraId="7361FD18" w14:textId="77777777" w:rsidR="007B58CF" w:rsidRDefault="007B58CF" w:rsidP="007B58CF">
            <w:pPr>
              <w:pStyle w:val="ListParagraph"/>
              <w:numPr>
                <w:ilvl w:val="0"/>
                <w:numId w:val="6"/>
              </w:numPr>
            </w:pPr>
            <w:r w:rsidRPr="00917AE5">
              <w:t>Supply medication from the formulary</w:t>
            </w:r>
            <w:r>
              <w:t xml:space="preserve"> (labelling of [P] and [GSL] classified medicine  not required)</w:t>
            </w:r>
          </w:p>
          <w:p w14:paraId="11377F74" w14:textId="77777777" w:rsidR="007B58CF" w:rsidRDefault="007B58CF" w:rsidP="007B58CF">
            <w:pPr>
              <w:pStyle w:val="ListParagraph"/>
              <w:numPr>
                <w:ilvl w:val="0"/>
                <w:numId w:val="6"/>
              </w:numPr>
            </w:pPr>
            <w:r w:rsidRPr="00917AE5">
              <w:t>Explain how the treatment works including possible side-effects/ cautions and warnings with  use</w:t>
            </w:r>
          </w:p>
          <w:p w14:paraId="192130D4" w14:textId="77777777" w:rsidR="007B58CF" w:rsidRDefault="007B58CF" w:rsidP="007B58CF">
            <w:pPr>
              <w:pStyle w:val="Heading3"/>
              <w:numPr>
                <w:ilvl w:val="0"/>
                <w:numId w:val="0"/>
              </w:numPr>
            </w:pPr>
          </w:p>
          <w:p w14:paraId="295AE486" w14:textId="77777777" w:rsidR="007B58CF" w:rsidRPr="00993885" w:rsidRDefault="00DB7469" w:rsidP="007B58CF">
            <w:pPr>
              <w:pStyle w:val="Heading3"/>
              <w:numPr>
                <w:ilvl w:val="0"/>
                <w:numId w:val="0"/>
              </w:numPr>
            </w:pPr>
            <w:r>
              <w:rPr>
                <w:rFonts w:eastAsia="Calibri"/>
                <w:lang w:eastAsia="en-US"/>
              </w:rPr>
              <w:t xml:space="preserve">3.5 </w:t>
            </w:r>
            <w:r w:rsidR="007B58CF" w:rsidRPr="00993885">
              <w:rPr>
                <w:rFonts w:eastAsia="Calibri"/>
                <w:lang w:eastAsia="en-US"/>
              </w:rPr>
              <w:t>Referral procedure</w:t>
            </w:r>
          </w:p>
          <w:p w14:paraId="1EFDA24D" w14:textId="77777777" w:rsidR="007B58CF" w:rsidRPr="009D4BA5" w:rsidRDefault="007B58CF" w:rsidP="007B58CF">
            <w:pPr>
              <w:rPr>
                <w:lang w:val="en-GB" w:eastAsia="en-US"/>
              </w:rPr>
            </w:pPr>
            <w:r w:rsidRPr="00384B61">
              <w:rPr>
                <w:lang w:val="en-GB" w:eastAsia="en-US"/>
              </w:rPr>
              <w:t>The pharmacist</w:t>
            </w:r>
            <w:r>
              <w:rPr>
                <w:lang w:val="en-GB" w:eastAsia="en-US"/>
              </w:rPr>
              <w:t>/pharmacy technician/</w:t>
            </w:r>
            <w:r>
              <w:t xml:space="preserve">dispenser </w:t>
            </w:r>
            <w:r w:rsidRPr="00384B61">
              <w:rPr>
                <w:lang w:val="en-GB" w:eastAsia="en-US"/>
              </w:rPr>
              <w:t>should use their clinical judgement to decide the urgency, route and need for referral as ultimately the pharmacist is professionally accountable for their actions</w:t>
            </w:r>
            <w:r>
              <w:rPr>
                <w:lang w:val="en-GB" w:eastAsia="en-US"/>
              </w:rPr>
              <w:t>.</w:t>
            </w:r>
          </w:p>
          <w:p w14:paraId="0348319A" w14:textId="77777777" w:rsidR="007B58CF" w:rsidRDefault="007B58CF" w:rsidP="007B58CF">
            <w:pPr>
              <w:rPr>
                <w:lang w:val="en-GB" w:eastAsia="en-US"/>
              </w:rPr>
            </w:pPr>
            <w:r>
              <w:rPr>
                <w:lang w:val="en-GB" w:eastAsia="en-US"/>
              </w:rPr>
              <w:t>P</w:t>
            </w:r>
            <w:r w:rsidRPr="00384B61">
              <w:rPr>
                <w:lang w:val="en-GB" w:eastAsia="en-US"/>
              </w:rPr>
              <w:t>harmacists should not give p</w:t>
            </w:r>
            <w:r>
              <w:rPr>
                <w:lang w:val="en-GB" w:eastAsia="en-US"/>
              </w:rPr>
              <w:t>eople</w:t>
            </w:r>
            <w:r w:rsidRPr="00384B61">
              <w:rPr>
                <w:lang w:val="en-GB" w:eastAsia="en-US"/>
              </w:rPr>
              <w:t xml:space="preserve"> the expectation of any specific treatment </w:t>
            </w:r>
            <w:r>
              <w:rPr>
                <w:lang w:val="en-GB" w:eastAsia="en-US"/>
              </w:rPr>
              <w:t xml:space="preserve">on referral </w:t>
            </w:r>
            <w:r w:rsidRPr="00384B61">
              <w:rPr>
                <w:lang w:val="en-GB" w:eastAsia="en-US"/>
              </w:rPr>
              <w:t xml:space="preserve">i.e. </w:t>
            </w:r>
            <w:r>
              <w:rPr>
                <w:lang w:val="en-GB" w:eastAsia="en-US"/>
              </w:rPr>
              <w:t xml:space="preserve">provision </w:t>
            </w:r>
            <w:r w:rsidRPr="00384B61">
              <w:rPr>
                <w:lang w:val="en-GB" w:eastAsia="en-US"/>
              </w:rPr>
              <w:t>antibiotics.</w:t>
            </w:r>
          </w:p>
          <w:p w14:paraId="03A39B52" w14:textId="77777777" w:rsidR="007B58CF" w:rsidRPr="00993885" w:rsidRDefault="007B58CF" w:rsidP="007B58CF">
            <w:pPr>
              <w:pStyle w:val="Heading3"/>
              <w:numPr>
                <w:ilvl w:val="0"/>
                <w:numId w:val="0"/>
              </w:numPr>
              <w:rPr>
                <w:rFonts w:eastAsia="Calibri"/>
                <w:lang w:eastAsia="en-US"/>
              </w:rPr>
            </w:pPr>
            <w:r w:rsidRPr="00993885">
              <w:rPr>
                <w:rFonts w:eastAsia="Calibri"/>
                <w:lang w:eastAsia="en-US"/>
              </w:rPr>
              <w:t>Referral for a non-urgent GP appointment</w:t>
            </w:r>
          </w:p>
          <w:p w14:paraId="368A3903" w14:textId="77777777" w:rsidR="007B58CF" w:rsidRDefault="007B58CF" w:rsidP="007B58CF">
            <w:pPr>
              <w:pStyle w:val="ListParagraph"/>
              <w:numPr>
                <w:ilvl w:val="0"/>
                <w:numId w:val="7"/>
              </w:numPr>
            </w:pPr>
            <w:r>
              <w:t>T</w:t>
            </w:r>
            <w:r w:rsidRPr="007B437C">
              <w:t xml:space="preserve">he pharmacist </w:t>
            </w:r>
            <w:r>
              <w:t>determines</w:t>
            </w:r>
            <w:r w:rsidRPr="007B437C">
              <w:t xml:space="preserve"> </w:t>
            </w:r>
            <w:r>
              <w:t xml:space="preserve">if a </w:t>
            </w:r>
            <w:r w:rsidRPr="007B437C">
              <w:t>GP</w:t>
            </w:r>
            <w:r>
              <w:t xml:space="preserve"> appointment is clinically appropriate</w:t>
            </w:r>
            <w:r w:rsidRPr="007B437C">
              <w:t>.</w:t>
            </w:r>
          </w:p>
          <w:p w14:paraId="6FB9F69A" w14:textId="77777777" w:rsidR="007B58CF" w:rsidRDefault="007B58CF" w:rsidP="007B58CF">
            <w:pPr>
              <w:pStyle w:val="ListParagraph"/>
              <w:numPr>
                <w:ilvl w:val="0"/>
                <w:numId w:val="7"/>
              </w:numPr>
            </w:pPr>
            <w:r>
              <w:t>The person is a frequent user of the service for the same minor ailments (</w:t>
            </w:r>
            <w:proofErr w:type="spellStart"/>
            <w:r w:rsidR="007D68FA">
              <w:t>PharmOutcomes</w:t>
            </w:r>
            <w:proofErr w:type="spellEnd"/>
            <w:r w:rsidR="007D68FA">
              <w:t>®</w:t>
            </w:r>
            <w:r>
              <w:t xml:space="preserve"> alert) </w:t>
            </w:r>
          </w:p>
          <w:p w14:paraId="4C3670A6" w14:textId="77777777" w:rsidR="007B58CF" w:rsidRDefault="007B58CF" w:rsidP="007B58CF">
            <w:pPr>
              <w:pStyle w:val="ListParagraph"/>
              <w:numPr>
                <w:ilvl w:val="0"/>
                <w:numId w:val="7"/>
              </w:numPr>
            </w:pPr>
            <w:r>
              <w:t>The pharmacy</w:t>
            </w:r>
            <w:r w:rsidR="005A2329">
              <w:t xml:space="preserve"> a</w:t>
            </w:r>
            <w:r w:rsidR="005A2329" w:rsidRPr="00917AE5">
              <w:t>dvises</w:t>
            </w:r>
            <w:r w:rsidRPr="00917AE5">
              <w:t xml:space="preserve"> </w:t>
            </w:r>
            <w:r>
              <w:t xml:space="preserve">the </w:t>
            </w:r>
            <w:r w:rsidRPr="00917AE5">
              <w:t>p</w:t>
            </w:r>
            <w:r>
              <w:t>erson</w:t>
            </w:r>
            <w:r w:rsidRPr="00917AE5">
              <w:t xml:space="preserve"> to contact the GP surgery and make an appointment (as per usual care)</w:t>
            </w:r>
            <w:r w:rsidRPr="0071577E">
              <w:t xml:space="preserve"> </w:t>
            </w:r>
            <w:r>
              <w:t>- Use the “Pharmacy First – Referral by Pharmacy” card and tick the non-urgent box.</w:t>
            </w:r>
          </w:p>
          <w:p w14:paraId="5F8C7023" w14:textId="77777777" w:rsidR="007B58CF" w:rsidRPr="00570C05" w:rsidRDefault="007B58CF" w:rsidP="007B58CF">
            <w:pPr>
              <w:pStyle w:val="ListParagraph"/>
              <w:numPr>
                <w:ilvl w:val="0"/>
                <w:numId w:val="7"/>
              </w:numPr>
            </w:pPr>
            <w:r w:rsidRPr="00384B61">
              <w:t xml:space="preserve">If a </w:t>
            </w:r>
            <w:r>
              <w:t xml:space="preserve">person </w:t>
            </w:r>
            <w:r w:rsidRPr="00384B61">
              <w:t>feels that they require a</w:t>
            </w:r>
            <w:r>
              <w:t xml:space="preserve"> GP</w:t>
            </w:r>
            <w:r w:rsidRPr="00384B61">
              <w:t xml:space="preserve"> appointment, but the pharmacist does not agree, the patient should be directed to contact the GP surgery themselves</w:t>
            </w:r>
            <w:r>
              <w:t>.</w:t>
            </w:r>
          </w:p>
          <w:p w14:paraId="29B6D4C5" w14:textId="77777777" w:rsidR="007B58CF" w:rsidRDefault="007B58CF" w:rsidP="007B58CF">
            <w:pPr>
              <w:pStyle w:val="ListParagraph"/>
              <w:numPr>
                <w:ilvl w:val="0"/>
                <w:numId w:val="7"/>
              </w:numPr>
            </w:pPr>
            <w:r w:rsidRPr="00917AE5">
              <w:t>The pharmacy should not contact the GP surgery to arrange an appointment for the patient</w:t>
            </w:r>
            <w:r>
              <w:t>.</w:t>
            </w:r>
          </w:p>
          <w:p w14:paraId="660D4C2D" w14:textId="77777777" w:rsidR="007B58CF" w:rsidRDefault="007B58CF" w:rsidP="007B58CF">
            <w:pPr>
              <w:pStyle w:val="ListParagraph"/>
              <w:ind w:left="720"/>
            </w:pPr>
          </w:p>
          <w:p w14:paraId="2730468C" w14:textId="77777777" w:rsidR="007B58CF" w:rsidRPr="00993885" w:rsidRDefault="007B58CF" w:rsidP="007B58CF">
            <w:pPr>
              <w:pStyle w:val="Heading3"/>
              <w:numPr>
                <w:ilvl w:val="0"/>
                <w:numId w:val="0"/>
              </w:numPr>
            </w:pPr>
            <w:r w:rsidRPr="00993885">
              <w:rPr>
                <w:rFonts w:eastAsia="Calibri"/>
                <w:lang w:eastAsia="en-US"/>
              </w:rPr>
              <w:t>Referral for an urgent GP appointment</w:t>
            </w:r>
          </w:p>
          <w:p w14:paraId="020F276E" w14:textId="77777777" w:rsidR="007B58CF" w:rsidRDefault="007B58CF" w:rsidP="007B58CF">
            <w:pPr>
              <w:pStyle w:val="ListParagraph"/>
              <w:numPr>
                <w:ilvl w:val="0"/>
                <w:numId w:val="8"/>
              </w:numPr>
            </w:pPr>
            <w:r w:rsidRPr="00570C05">
              <w:t xml:space="preserve">The pharmacist </w:t>
            </w:r>
            <w:r>
              <w:t xml:space="preserve">determines if an urgent GP </w:t>
            </w:r>
            <w:r w:rsidRPr="00570C05">
              <w:t xml:space="preserve">appointment </w:t>
            </w:r>
            <w:r>
              <w:t>is clinically appropriate.</w:t>
            </w:r>
            <w:r w:rsidRPr="00570C05">
              <w:t xml:space="preserve"> </w:t>
            </w:r>
          </w:p>
          <w:p w14:paraId="1A684DC7" w14:textId="77777777" w:rsidR="007B58CF" w:rsidRDefault="007B58CF" w:rsidP="007B58CF">
            <w:pPr>
              <w:pStyle w:val="ListParagraph"/>
              <w:numPr>
                <w:ilvl w:val="0"/>
                <w:numId w:val="8"/>
              </w:numPr>
            </w:pPr>
            <w:r>
              <w:t xml:space="preserve">The pharmacy staff </w:t>
            </w:r>
            <w:r w:rsidRPr="00570C05">
              <w:t>make an active referral</w:t>
            </w:r>
            <w:r>
              <w:t xml:space="preserve"> and advise/</w:t>
            </w:r>
            <w:r w:rsidRPr="00917AE5">
              <w:t>contact</w:t>
            </w:r>
            <w:r>
              <w:t>:</w:t>
            </w:r>
          </w:p>
          <w:p w14:paraId="2E7C8238" w14:textId="77777777" w:rsidR="007B58CF" w:rsidRDefault="007B58CF" w:rsidP="007B58CF">
            <w:pPr>
              <w:pStyle w:val="ListParagraph"/>
              <w:numPr>
                <w:ilvl w:val="1"/>
                <w:numId w:val="8"/>
              </w:numPr>
            </w:pPr>
            <w:r w:rsidRPr="00917AE5">
              <w:t>the p</w:t>
            </w:r>
            <w:r>
              <w:t>erson’s registered</w:t>
            </w:r>
            <w:r w:rsidRPr="00917AE5">
              <w:t xml:space="preserve"> </w:t>
            </w:r>
            <w:r>
              <w:t xml:space="preserve">general practice, or an island practice if a temporary resident </w:t>
            </w:r>
            <w:r w:rsidRPr="00917AE5">
              <w:t xml:space="preserve"> </w:t>
            </w:r>
          </w:p>
          <w:p w14:paraId="799C6E4A" w14:textId="77777777" w:rsidR="007B58CF" w:rsidRDefault="007B58CF" w:rsidP="007B58CF">
            <w:pPr>
              <w:pStyle w:val="ListParagraph"/>
              <w:numPr>
                <w:ilvl w:val="1"/>
                <w:numId w:val="8"/>
              </w:numPr>
            </w:pPr>
            <w:r>
              <w:t xml:space="preserve">the 111 </w:t>
            </w:r>
            <w:r w:rsidRPr="00917AE5">
              <w:t xml:space="preserve">service by </w:t>
            </w:r>
            <w:r>
              <w:t>tele</w:t>
            </w:r>
            <w:r w:rsidRPr="00917AE5">
              <w:t xml:space="preserve">phone </w:t>
            </w:r>
            <w:r>
              <w:t xml:space="preserve">to triage the patient </w:t>
            </w:r>
            <w:r w:rsidRPr="00917AE5">
              <w:t xml:space="preserve">and arrange an appointment </w:t>
            </w:r>
          </w:p>
          <w:p w14:paraId="014005D2" w14:textId="77777777" w:rsidR="007B58CF" w:rsidRDefault="007B58CF" w:rsidP="007B58CF">
            <w:pPr>
              <w:pStyle w:val="ListParagraph"/>
              <w:numPr>
                <w:ilvl w:val="1"/>
                <w:numId w:val="8"/>
              </w:numPr>
            </w:pPr>
            <w:r w:rsidRPr="006146A9">
              <w:t xml:space="preserve">the </w:t>
            </w:r>
            <w:r>
              <w:t xml:space="preserve">UTC </w:t>
            </w:r>
            <w:r w:rsidRPr="006146A9">
              <w:t xml:space="preserve">walk in centre </w:t>
            </w:r>
            <w:r>
              <w:t>is</w:t>
            </w:r>
            <w:r w:rsidRPr="006146A9">
              <w:t xml:space="preserve"> </w:t>
            </w:r>
            <w:r>
              <w:t>located at St Mary’s Hospital</w:t>
            </w:r>
          </w:p>
          <w:p w14:paraId="102C035D" w14:textId="77777777" w:rsidR="007B58CF" w:rsidRDefault="007B58CF" w:rsidP="007B58CF">
            <w:pPr>
              <w:pStyle w:val="ListParagraph"/>
              <w:numPr>
                <w:ilvl w:val="1"/>
                <w:numId w:val="8"/>
              </w:numPr>
            </w:pPr>
            <w:r>
              <w:t>A&amp;E - only if an emergency.</w:t>
            </w:r>
          </w:p>
          <w:p w14:paraId="0389B180" w14:textId="77777777" w:rsidR="00DB7469" w:rsidRPr="006146A9" w:rsidRDefault="00DB7469" w:rsidP="00DB7469">
            <w:pPr>
              <w:pStyle w:val="ListParagraph"/>
              <w:ind w:left="1440"/>
            </w:pPr>
          </w:p>
          <w:p w14:paraId="546B28A5" w14:textId="77777777" w:rsidR="007B58CF" w:rsidRPr="007B58CF" w:rsidRDefault="00DB7469" w:rsidP="007B58CF">
            <w:pPr>
              <w:spacing w:after="0"/>
              <w:ind w:left="743" w:hanging="743"/>
              <w:rPr>
                <w:rFonts w:cs="Arial"/>
                <w:b/>
                <w:lang w:val="en-GB"/>
              </w:rPr>
            </w:pPr>
            <w:r>
              <w:rPr>
                <w:rFonts w:cs="Arial"/>
                <w:b/>
                <w:lang w:val="en-GB"/>
              </w:rPr>
              <w:t>3.6</w:t>
            </w:r>
            <w:r w:rsidR="007B58CF" w:rsidRPr="007B58CF">
              <w:rPr>
                <w:rFonts w:cs="Arial"/>
                <w:b/>
                <w:lang w:val="en-GB"/>
              </w:rPr>
              <w:t xml:space="preserve"> Pharmacy First Medicines Formulary </w:t>
            </w:r>
          </w:p>
          <w:p w14:paraId="2E03196C" w14:textId="77777777" w:rsidR="007B58CF" w:rsidRDefault="007B58CF" w:rsidP="007B58CF">
            <w:pPr>
              <w:pStyle w:val="ListParagraph"/>
              <w:numPr>
                <w:ilvl w:val="0"/>
                <w:numId w:val="22"/>
              </w:numPr>
            </w:pPr>
            <w:r>
              <w:t xml:space="preserve">A range of evidence based medicines to manage the minor ailments specified (medicines without a strong evidence base for </w:t>
            </w:r>
            <w:r w:rsidRPr="005C6F8A">
              <w:t xml:space="preserve">proven clinical benefits are </w:t>
            </w:r>
            <w:r>
              <w:t>excluded from the list)</w:t>
            </w:r>
          </w:p>
          <w:p w14:paraId="47F30D5D" w14:textId="77777777" w:rsidR="007B58CF" w:rsidRPr="005C6F8A" w:rsidRDefault="007B58CF" w:rsidP="007B58CF">
            <w:pPr>
              <w:pStyle w:val="ListParagraph"/>
              <w:numPr>
                <w:ilvl w:val="0"/>
                <w:numId w:val="22"/>
              </w:numPr>
            </w:pPr>
            <w:r w:rsidRPr="00384B61">
              <w:t xml:space="preserve">Only medicines </w:t>
            </w:r>
            <w:r>
              <w:t>on</w:t>
            </w:r>
            <w:r w:rsidRPr="00384B61">
              <w:t xml:space="preserve"> the Pharmacy First formulary can be </w:t>
            </w:r>
            <w:r>
              <w:t>claimed for</w:t>
            </w:r>
            <w:r w:rsidRPr="00DD185C">
              <w:t xml:space="preserve"> </w:t>
            </w:r>
            <w:r>
              <w:t>- People</w:t>
            </w:r>
            <w:r w:rsidRPr="005C6F8A">
              <w:t xml:space="preserve"> </w:t>
            </w:r>
            <w:r>
              <w:t>may</w:t>
            </w:r>
            <w:r w:rsidRPr="005C6F8A">
              <w:t xml:space="preserve"> purchase </w:t>
            </w:r>
            <w:r>
              <w:t>other</w:t>
            </w:r>
            <w:r w:rsidRPr="005C6F8A">
              <w:t xml:space="preserve"> medic</w:t>
            </w:r>
            <w:r>
              <w:t>ines</w:t>
            </w:r>
            <w:r w:rsidRPr="005C6F8A">
              <w:t xml:space="preserve"> </w:t>
            </w:r>
            <w:r>
              <w:t>themselves</w:t>
            </w:r>
            <w:r w:rsidRPr="005C6F8A">
              <w:t xml:space="preserve"> </w:t>
            </w:r>
          </w:p>
          <w:p w14:paraId="52548D6A" w14:textId="77777777" w:rsidR="007B58CF" w:rsidRDefault="007B58CF" w:rsidP="007B58CF">
            <w:pPr>
              <w:pStyle w:val="ListParagraph"/>
              <w:numPr>
                <w:ilvl w:val="0"/>
                <w:numId w:val="22"/>
              </w:numPr>
            </w:pPr>
            <w:r>
              <w:t>M</w:t>
            </w:r>
            <w:r w:rsidRPr="00384B61">
              <w:t>edic</w:t>
            </w:r>
            <w:r>
              <w:t>ines</w:t>
            </w:r>
            <w:r w:rsidRPr="00384B61">
              <w:t xml:space="preserve"> </w:t>
            </w:r>
            <w:r>
              <w:t>can</w:t>
            </w:r>
            <w:r w:rsidRPr="00384B61">
              <w:t xml:space="preserve"> only be supplied when necessary and appropriate to </w:t>
            </w:r>
            <w:r>
              <w:t xml:space="preserve">treat </w:t>
            </w:r>
            <w:r w:rsidRPr="00384B61">
              <w:t>the p</w:t>
            </w:r>
            <w:r>
              <w:t>erson</w:t>
            </w:r>
            <w:r w:rsidRPr="00384B61">
              <w:t xml:space="preserve">’s </w:t>
            </w:r>
            <w:r>
              <w:t>minor ailment</w:t>
            </w:r>
            <w:r w:rsidRPr="00384B61">
              <w:t>.</w:t>
            </w:r>
            <w:r w:rsidRPr="007B437C">
              <w:t xml:space="preserve"> </w:t>
            </w:r>
          </w:p>
          <w:p w14:paraId="10C1F32D" w14:textId="77777777" w:rsidR="007B58CF" w:rsidRDefault="007B58CF" w:rsidP="007B58CF">
            <w:pPr>
              <w:pStyle w:val="ListParagraph"/>
              <w:numPr>
                <w:ilvl w:val="0"/>
                <w:numId w:val="22"/>
              </w:numPr>
            </w:pPr>
            <w:r>
              <w:t>P</w:t>
            </w:r>
            <w:r w:rsidRPr="00384B61">
              <w:t>harmac</w:t>
            </w:r>
            <w:r>
              <w:t>y staff may</w:t>
            </w:r>
            <w:r w:rsidRPr="00384B61">
              <w:t xml:space="preserve"> supply any brand of </w:t>
            </w:r>
            <w:r>
              <w:t xml:space="preserve">a </w:t>
            </w:r>
            <w:r w:rsidRPr="00384B61">
              <w:t xml:space="preserve">product as long as the active ingredients are the same </w:t>
            </w:r>
            <w:r>
              <w:t>P</w:t>
            </w:r>
            <w:r w:rsidRPr="00384B61">
              <w:t xml:space="preserve">ayment will be in line with </w:t>
            </w:r>
            <w:r>
              <w:t xml:space="preserve">DM&amp;D </w:t>
            </w:r>
            <w:r w:rsidRPr="00384B61">
              <w:t>tariff prices or calculated against the brand highlighted in the formulary.</w:t>
            </w:r>
          </w:p>
          <w:p w14:paraId="7B9ACCC0" w14:textId="77777777" w:rsidR="007B58CF" w:rsidRDefault="007B58CF" w:rsidP="007B58CF">
            <w:pPr>
              <w:pStyle w:val="ListParagraph"/>
              <w:numPr>
                <w:ilvl w:val="0"/>
                <w:numId w:val="22"/>
              </w:numPr>
            </w:pPr>
            <w:r>
              <w:t>T</w:t>
            </w:r>
            <w:r w:rsidRPr="00384B61">
              <w:t xml:space="preserve">he products supplied must be </w:t>
            </w:r>
            <w:r>
              <w:t xml:space="preserve">[GSL] OR [P] </w:t>
            </w:r>
            <w:r w:rsidRPr="00384B61">
              <w:t xml:space="preserve">packs and each product must be supplied with a </w:t>
            </w:r>
            <w:r w:rsidRPr="00384B61">
              <w:lastRenderedPageBreak/>
              <w:t>corresponding Patient Information Leaflet.</w:t>
            </w:r>
          </w:p>
          <w:p w14:paraId="7CADE5EC" w14:textId="77777777" w:rsidR="007B58CF" w:rsidRDefault="007B58CF" w:rsidP="007B58CF">
            <w:pPr>
              <w:pStyle w:val="ListParagraph"/>
              <w:ind w:left="720"/>
            </w:pPr>
          </w:p>
          <w:tbl>
            <w:tblPr>
              <w:tblW w:w="91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9"/>
              <w:gridCol w:w="3261"/>
              <w:gridCol w:w="2826"/>
            </w:tblGrid>
            <w:tr w:rsidR="007B58CF" w14:paraId="47CC05BB" w14:textId="77777777" w:rsidTr="0024630D">
              <w:trPr>
                <w:trHeight w:val="165"/>
                <w:tblHeader/>
                <w:jc w:val="center"/>
              </w:trPr>
              <w:tc>
                <w:tcPr>
                  <w:tcW w:w="9196"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65A7876" w14:textId="77777777" w:rsidR="007B58CF" w:rsidRDefault="007B58CF" w:rsidP="0024630D">
                  <w:pPr>
                    <w:spacing w:after="0"/>
                    <w:ind w:left="743" w:hanging="743"/>
                    <w:rPr>
                      <w:rFonts w:cs="Arial"/>
                      <w:b/>
                      <w:lang w:val="en-GB"/>
                    </w:rPr>
                  </w:pPr>
                  <w:r>
                    <w:rPr>
                      <w:rFonts w:cs="Arial"/>
                      <w:b/>
                      <w:lang w:val="en-GB"/>
                    </w:rPr>
                    <w:t xml:space="preserve">Formulary* </w:t>
                  </w:r>
                </w:p>
              </w:tc>
            </w:tr>
            <w:tr w:rsidR="007B58CF" w14:paraId="0BD97C26" w14:textId="77777777" w:rsidTr="0024630D">
              <w:trPr>
                <w:trHeight w:val="262"/>
                <w:jc w:val="center"/>
              </w:trPr>
              <w:tc>
                <w:tcPr>
                  <w:tcW w:w="3109" w:type="dxa"/>
                  <w:tcBorders>
                    <w:top w:val="single" w:sz="4" w:space="0" w:color="auto"/>
                    <w:left w:val="single" w:sz="4" w:space="0" w:color="auto"/>
                    <w:bottom w:val="single" w:sz="4" w:space="0" w:color="auto"/>
                    <w:right w:val="single" w:sz="4" w:space="0" w:color="auto"/>
                  </w:tcBorders>
                  <w:hideMark/>
                </w:tcPr>
                <w:p w14:paraId="7904BFFB" w14:textId="77777777" w:rsidR="007B58CF" w:rsidRPr="00993885" w:rsidRDefault="007B58CF" w:rsidP="0024630D">
                  <w:pPr>
                    <w:spacing w:after="0"/>
                    <w:rPr>
                      <w:rFonts w:cs="Arial"/>
                      <w:sz w:val="16"/>
                      <w:szCs w:val="16"/>
                      <w:lang w:val="en-GB"/>
                    </w:rPr>
                  </w:pPr>
                  <w:proofErr w:type="spellStart"/>
                  <w:r w:rsidRPr="00993885">
                    <w:rPr>
                      <w:rFonts w:cs="Arial"/>
                      <w:sz w:val="16"/>
                      <w:szCs w:val="16"/>
                      <w:lang w:val="en-GB"/>
                    </w:rPr>
                    <w:t>Aciclovir</w:t>
                  </w:r>
                  <w:proofErr w:type="spellEnd"/>
                  <w:r w:rsidRPr="00993885">
                    <w:rPr>
                      <w:rFonts w:cs="Arial"/>
                      <w:sz w:val="16"/>
                      <w:szCs w:val="16"/>
                      <w:lang w:val="en-GB"/>
                    </w:rPr>
                    <w:t xml:space="preserve"> 5% cream (1x2g tube) </w:t>
                  </w:r>
                </w:p>
                <w:p w14:paraId="4645F359" w14:textId="77777777" w:rsidR="007B58CF" w:rsidRPr="00993885" w:rsidRDefault="007B58CF" w:rsidP="0024630D">
                  <w:pPr>
                    <w:spacing w:after="0"/>
                    <w:rPr>
                      <w:rFonts w:cs="Arial"/>
                      <w:sz w:val="16"/>
                      <w:szCs w:val="16"/>
                      <w:lang w:val="en-GB"/>
                    </w:rPr>
                  </w:pPr>
                </w:p>
              </w:tc>
              <w:tc>
                <w:tcPr>
                  <w:tcW w:w="3261" w:type="dxa"/>
                  <w:tcBorders>
                    <w:top w:val="single" w:sz="4" w:space="0" w:color="auto"/>
                    <w:left w:val="single" w:sz="4" w:space="0" w:color="auto"/>
                    <w:bottom w:val="single" w:sz="4" w:space="0" w:color="auto"/>
                    <w:right w:val="single" w:sz="4" w:space="0" w:color="auto"/>
                  </w:tcBorders>
                </w:tcPr>
                <w:p w14:paraId="04957E38" w14:textId="77777777" w:rsidR="007B58CF" w:rsidRPr="00993885" w:rsidRDefault="007B58CF" w:rsidP="0024630D">
                  <w:pPr>
                    <w:spacing w:after="0"/>
                    <w:rPr>
                      <w:rFonts w:cs="Arial"/>
                      <w:sz w:val="16"/>
                      <w:szCs w:val="16"/>
                      <w:lang w:val="en-GB"/>
                    </w:rPr>
                  </w:pPr>
                  <w:r w:rsidRPr="00993885">
                    <w:rPr>
                      <w:rFonts w:cs="Arial"/>
                      <w:sz w:val="16"/>
                      <w:szCs w:val="16"/>
                      <w:lang w:val="en-GB"/>
                    </w:rPr>
                    <w:t>Clotrimazole  HC 1% cream 15g</w:t>
                  </w:r>
                </w:p>
              </w:tc>
              <w:tc>
                <w:tcPr>
                  <w:tcW w:w="2826" w:type="dxa"/>
                  <w:tcBorders>
                    <w:top w:val="single" w:sz="4" w:space="0" w:color="auto"/>
                    <w:left w:val="single" w:sz="4" w:space="0" w:color="auto"/>
                    <w:bottom w:val="single" w:sz="4" w:space="0" w:color="auto"/>
                    <w:right w:val="single" w:sz="4" w:space="0" w:color="auto"/>
                  </w:tcBorders>
                </w:tcPr>
                <w:p w14:paraId="7617D87F" w14:textId="77777777" w:rsidR="007B58CF" w:rsidRPr="002B6E8E" w:rsidRDefault="007B58CF" w:rsidP="0024630D">
                  <w:pPr>
                    <w:spacing w:after="0" w:line="276" w:lineRule="auto"/>
                    <w:rPr>
                      <w:rFonts w:cs="Arial"/>
                      <w:strike/>
                      <w:sz w:val="16"/>
                      <w:szCs w:val="16"/>
                      <w:lang w:val="en-GB"/>
                    </w:rPr>
                  </w:pPr>
                  <w:r w:rsidRPr="00993885">
                    <w:rPr>
                      <w:rFonts w:cs="Arial"/>
                      <w:sz w:val="16"/>
                      <w:szCs w:val="16"/>
                      <w:lang w:val="en-GB"/>
                    </w:rPr>
                    <w:t>Mebendazole 100mg/5ml (Ovex®) oral suspension (1x30ml)</w:t>
                  </w:r>
                </w:p>
              </w:tc>
            </w:tr>
            <w:tr w:rsidR="007B58CF" w14:paraId="3E064A44" w14:textId="77777777" w:rsidTr="0024630D">
              <w:trPr>
                <w:trHeight w:val="289"/>
                <w:jc w:val="center"/>
              </w:trPr>
              <w:tc>
                <w:tcPr>
                  <w:tcW w:w="3109" w:type="dxa"/>
                  <w:tcBorders>
                    <w:top w:val="single" w:sz="4" w:space="0" w:color="auto"/>
                    <w:left w:val="single" w:sz="4" w:space="0" w:color="auto"/>
                    <w:bottom w:val="single" w:sz="4" w:space="0" w:color="auto"/>
                    <w:right w:val="single" w:sz="4" w:space="0" w:color="auto"/>
                  </w:tcBorders>
                </w:tcPr>
                <w:p w14:paraId="317C6298" w14:textId="77777777" w:rsidR="007B58CF" w:rsidRPr="00993885" w:rsidRDefault="007B58CF" w:rsidP="0024630D">
                  <w:pPr>
                    <w:spacing w:after="0"/>
                    <w:rPr>
                      <w:rFonts w:cs="Arial"/>
                      <w:sz w:val="16"/>
                      <w:szCs w:val="16"/>
                      <w:lang w:val="en-GB"/>
                    </w:rPr>
                  </w:pPr>
                  <w:proofErr w:type="spellStart"/>
                  <w:r w:rsidRPr="00993885">
                    <w:rPr>
                      <w:rFonts w:cs="Arial"/>
                      <w:sz w:val="16"/>
                      <w:szCs w:val="16"/>
                      <w:lang w:val="en-GB"/>
                    </w:rPr>
                    <w:t>Anusol</w:t>
                  </w:r>
                  <w:proofErr w:type="spellEnd"/>
                  <w:r w:rsidRPr="00993885">
                    <w:rPr>
                      <w:rFonts w:cs="Arial"/>
                      <w:sz w:val="16"/>
                      <w:szCs w:val="16"/>
                      <w:lang w:val="en-GB"/>
                    </w:rPr>
                    <w:t xml:space="preserve"> Plus® HC ointment (1x15g) </w:t>
                  </w:r>
                </w:p>
              </w:tc>
              <w:tc>
                <w:tcPr>
                  <w:tcW w:w="3261" w:type="dxa"/>
                  <w:tcBorders>
                    <w:top w:val="single" w:sz="4" w:space="0" w:color="auto"/>
                    <w:left w:val="single" w:sz="4" w:space="0" w:color="auto"/>
                    <w:bottom w:val="single" w:sz="4" w:space="0" w:color="auto"/>
                    <w:right w:val="single" w:sz="4" w:space="0" w:color="auto"/>
                  </w:tcBorders>
                </w:tcPr>
                <w:p w14:paraId="0BDF422E" w14:textId="77777777" w:rsidR="007B58CF" w:rsidRPr="00993885" w:rsidRDefault="007B58CF" w:rsidP="0024630D">
                  <w:pPr>
                    <w:spacing w:after="0"/>
                    <w:rPr>
                      <w:rFonts w:cs="Arial"/>
                      <w:sz w:val="16"/>
                      <w:szCs w:val="16"/>
                      <w:lang w:val="en-GB"/>
                    </w:rPr>
                  </w:pPr>
                  <w:r w:rsidRPr="00993885">
                    <w:rPr>
                      <w:rFonts w:cs="Arial"/>
                      <w:sz w:val="16"/>
                      <w:szCs w:val="16"/>
                      <w:lang w:val="en-GB"/>
                    </w:rPr>
                    <w:t>Clotrimazole 500mg pessary</w:t>
                  </w:r>
                  <w:r>
                    <w:rPr>
                      <w:rFonts w:cs="Arial"/>
                      <w:sz w:val="16"/>
                      <w:szCs w:val="16"/>
                      <w:lang w:val="en-GB"/>
                    </w:rPr>
                    <w:t>/gel caps</w:t>
                  </w:r>
                </w:p>
              </w:tc>
              <w:tc>
                <w:tcPr>
                  <w:tcW w:w="2826" w:type="dxa"/>
                  <w:tcBorders>
                    <w:top w:val="single" w:sz="4" w:space="0" w:color="auto"/>
                    <w:left w:val="single" w:sz="4" w:space="0" w:color="auto"/>
                    <w:bottom w:val="single" w:sz="4" w:space="0" w:color="auto"/>
                    <w:right w:val="single" w:sz="4" w:space="0" w:color="auto"/>
                  </w:tcBorders>
                </w:tcPr>
                <w:p w14:paraId="0EFA93D7" w14:textId="77777777" w:rsidR="007B58CF" w:rsidRPr="002B6E8E" w:rsidRDefault="007B58CF" w:rsidP="0024630D">
                  <w:pPr>
                    <w:spacing w:after="0" w:line="276" w:lineRule="auto"/>
                    <w:rPr>
                      <w:rFonts w:cs="Arial"/>
                      <w:strike/>
                      <w:sz w:val="16"/>
                      <w:szCs w:val="16"/>
                      <w:lang w:val="en-GB"/>
                    </w:rPr>
                  </w:pPr>
                  <w:r w:rsidRPr="00993885">
                    <w:rPr>
                      <w:rFonts w:cs="Arial"/>
                      <w:sz w:val="16"/>
                      <w:szCs w:val="16"/>
                      <w:lang w:val="en-GB"/>
                    </w:rPr>
                    <w:t>Miconazole 2% (Daktarin) cream (1x30g)</w:t>
                  </w:r>
                </w:p>
              </w:tc>
            </w:tr>
            <w:tr w:rsidR="007B58CF" w14:paraId="7FCAD254" w14:textId="77777777" w:rsidTr="0024630D">
              <w:trPr>
                <w:trHeight w:val="484"/>
                <w:jc w:val="center"/>
              </w:trPr>
              <w:tc>
                <w:tcPr>
                  <w:tcW w:w="3109" w:type="dxa"/>
                  <w:tcBorders>
                    <w:top w:val="single" w:sz="4" w:space="0" w:color="auto"/>
                    <w:left w:val="single" w:sz="4" w:space="0" w:color="auto"/>
                    <w:bottom w:val="single" w:sz="4" w:space="0" w:color="auto"/>
                    <w:right w:val="single" w:sz="4" w:space="0" w:color="auto"/>
                  </w:tcBorders>
                </w:tcPr>
                <w:p w14:paraId="125BDE29" w14:textId="77777777" w:rsidR="007B58CF" w:rsidRPr="00993885" w:rsidRDefault="007B58CF" w:rsidP="0024630D">
                  <w:pPr>
                    <w:spacing w:after="0"/>
                    <w:rPr>
                      <w:rFonts w:cs="Arial"/>
                      <w:sz w:val="16"/>
                      <w:szCs w:val="16"/>
                      <w:lang w:val="en-GB"/>
                    </w:rPr>
                  </w:pPr>
                  <w:proofErr w:type="spellStart"/>
                  <w:r w:rsidRPr="00993885">
                    <w:rPr>
                      <w:rFonts w:cs="Arial"/>
                      <w:sz w:val="16"/>
                      <w:szCs w:val="16"/>
                      <w:lang w:val="en-GB"/>
                    </w:rPr>
                    <w:t>Anusol</w:t>
                  </w:r>
                  <w:proofErr w:type="spellEnd"/>
                  <w:r w:rsidRPr="00993885">
                    <w:rPr>
                      <w:rFonts w:cs="Arial"/>
                      <w:sz w:val="16"/>
                      <w:szCs w:val="16"/>
                      <w:lang w:val="en-GB"/>
                    </w:rPr>
                    <w:t xml:space="preserve"> Plus® HC suppositories (1x12) </w:t>
                  </w:r>
                </w:p>
              </w:tc>
              <w:tc>
                <w:tcPr>
                  <w:tcW w:w="3261" w:type="dxa"/>
                  <w:tcBorders>
                    <w:top w:val="single" w:sz="4" w:space="0" w:color="auto"/>
                    <w:left w:val="single" w:sz="4" w:space="0" w:color="auto"/>
                    <w:bottom w:val="single" w:sz="4" w:space="0" w:color="auto"/>
                    <w:right w:val="single" w:sz="4" w:space="0" w:color="auto"/>
                  </w:tcBorders>
                </w:tcPr>
                <w:p w14:paraId="69667AFF" w14:textId="77777777" w:rsidR="007B58CF" w:rsidRPr="00CF0769" w:rsidRDefault="007B58CF" w:rsidP="0024630D">
                  <w:pPr>
                    <w:spacing w:after="0"/>
                    <w:rPr>
                      <w:rFonts w:cs="Arial"/>
                      <w:strike/>
                      <w:sz w:val="16"/>
                      <w:szCs w:val="16"/>
                      <w:lang w:val="en-GB"/>
                    </w:rPr>
                  </w:pPr>
                  <w:proofErr w:type="spellStart"/>
                  <w:r w:rsidRPr="00993885">
                    <w:rPr>
                      <w:rFonts w:cs="Arial"/>
                      <w:sz w:val="16"/>
                      <w:szCs w:val="16"/>
                      <w:lang w:val="en-GB"/>
                    </w:rPr>
                    <w:t>Hedrin</w:t>
                  </w:r>
                  <w:proofErr w:type="spellEnd"/>
                  <w:r w:rsidRPr="00993885">
                    <w:rPr>
                      <w:rFonts w:cs="Arial"/>
                      <w:sz w:val="16"/>
                      <w:szCs w:val="16"/>
                      <w:lang w:val="en-GB"/>
                    </w:rPr>
                    <w:t xml:space="preserve">® </w:t>
                  </w:r>
                  <w:proofErr w:type="spellStart"/>
                  <w:r w:rsidRPr="00993885">
                    <w:rPr>
                      <w:rFonts w:cs="Arial"/>
                      <w:sz w:val="16"/>
                      <w:szCs w:val="16"/>
                      <w:lang w:val="en-GB"/>
                    </w:rPr>
                    <w:t>Dimeticone</w:t>
                  </w:r>
                  <w:proofErr w:type="spellEnd"/>
                  <w:r w:rsidRPr="00993885">
                    <w:rPr>
                      <w:rFonts w:cs="Arial"/>
                      <w:sz w:val="16"/>
                      <w:szCs w:val="16"/>
                      <w:lang w:val="en-GB"/>
                    </w:rPr>
                    <w:t xml:space="preserve"> 4% lotion (1x50ml, contains 1 application)</w:t>
                  </w:r>
                </w:p>
              </w:tc>
              <w:tc>
                <w:tcPr>
                  <w:tcW w:w="2826" w:type="dxa"/>
                  <w:tcBorders>
                    <w:top w:val="single" w:sz="4" w:space="0" w:color="auto"/>
                    <w:left w:val="single" w:sz="4" w:space="0" w:color="auto"/>
                    <w:bottom w:val="single" w:sz="4" w:space="0" w:color="auto"/>
                    <w:right w:val="single" w:sz="4" w:space="0" w:color="auto"/>
                  </w:tcBorders>
                </w:tcPr>
                <w:p w14:paraId="1B897A01" w14:textId="77777777" w:rsidR="007B58CF" w:rsidRPr="00993885" w:rsidRDefault="007B58CF" w:rsidP="0024630D">
                  <w:pPr>
                    <w:spacing w:after="0" w:line="276" w:lineRule="auto"/>
                    <w:rPr>
                      <w:rFonts w:cs="Arial"/>
                      <w:sz w:val="16"/>
                      <w:szCs w:val="16"/>
                      <w:lang w:val="en-GB"/>
                    </w:rPr>
                  </w:pPr>
                  <w:r w:rsidRPr="00993885">
                    <w:rPr>
                      <w:rFonts w:cs="Arial"/>
                      <w:sz w:val="16"/>
                      <w:szCs w:val="16"/>
                      <w:lang w:val="en-GB"/>
                    </w:rPr>
                    <w:t xml:space="preserve">Miconazole oral gel 20mg/g </w:t>
                  </w:r>
                </w:p>
                <w:p w14:paraId="041A4B63" w14:textId="77777777" w:rsidR="007B58CF" w:rsidRPr="002B6E8E" w:rsidRDefault="007B58CF" w:rsidP="0024630D">
                  <w:pPr>
                    <w:spacing w:after="0" w:line="276" w:lineRule="auto"/>
                    <w:rPr>
                      <w:rFonts w:cs="Arial"/>
                      <w:strike/>
                      <w:sz w:val="16"/>
                      <w:szCs w:val="16"/>
                      <w:lang w:val="en-GB"/>
                    </w:rPr>
                  </w:pPr>
                  <w:r w:rsidRPr="00993885">
                    <w:rPr>
                      <w:rFonts w:cs="Arial"/>
                      <w:sz w:val="16"/>
                      <w:szCs w:val="16"/>
                      <w:lang w:val="en-GB"/>
                    </w:rPr>
                    <w:t>(Daktarin® oral gel 15g)</w:t>
                  </w:r>
                </w:p>
              </w:tc>
            </w:tr>
            <w:tr w:rsidR="007B58CF" w14:paraId="31A34A97" w14:textId="77777777" w:rsidTr="0024630D">
              <w:trPr>
                <w:trHeight w:val="261"/>
                <w:jc w:val="center"/>
              </w:trPr>
              <w:tc>
                <w:tcPr>
                  <w:tcW w:w="3109" w:type="dxa"/>
                  <w:tcBorders>
                    <w:top w:val="single" w:sz="4" w:space="0" w:color="auto"/>
                    <w:left w:val="single" w:sz="4" w:space="0" w:color="auto"/>
                    <w:bottom w:val="single" w:sz="4" w:space="0" w:color="auto"/>
                    <w:right w:val="single" w:sz="4" w:space="0" w:color="auto"/>
                  </w:tcBorders>
                </w:tcPr>
                <w:p w14:paraId="22F3D7A7" w14:textId="77777777" w:rsidR="007B58CF" w:rsidRPr="00993885" w:rsidRDefault="007B58CF" w:rsidP="0024630D">
                  <w:pPr>
                    <w:spacing w:after="0"/>
                    <w:rPr>
                      <w:rFonts w:cs="Arial"/>
                      <w:sz w:val="16"/>
                      <w:szCs w:val="16"/>
                      <w:lang w:val="en-GB"/>
                    </w:rPr>
                  </w:pPr>
                  <w:r w:rsidRPr="00993885">
                    <w:rPr>
                      <w:rFonts w:cs="Arial"/>
                      <w:sz w:val="16"/>
                      <w:szCs w:val="16"/>
                      <w:lang w:val="en-GB"/>
                    </w:rPr>
                    <w:t>Beclomethasone nasal spray 50mcg/spray (1x200 dose)</w:t>
                  </w:r>
                </w:p>
              </w:tc>
              <w:tc>
                <w:tcPr>
                  <w:tcW w:w="3261" w:type="dxa"/>
                  <w:tcBorders>
                    <w:top w:val="single" w:sz="4" w:space="0" w:color="auto"/>
                    <w:left w:val="single" w:sz="4" w:space="0" w:color="auto"/>
                    <w:bottom w:val="single" w:sz="4" w:space="0" w:color="auto"/>
                    <w:right w:val="single" w:sz="4" w:space="0" w:color="auto"/>
                  </w:tcBorders>
                </w:tcPr>
                <w:p w14:paraId="7FA4F44F" w14:textId="77777777" w:rsidR="007B58CF" w:rsidRPr="00993885" w:rsidRDefault="007B58CF" w:rsidP="0024630D">
                  <w:pPr>
                    <w:spacing w:after="0"/>
                    <w:rPr>
                      <w:rFonts w:cs="Arial"/>
                      <w:sz w:val="16"/>
                      <w:szCs w:val="16"/>
                      <w:lang w:val="en-GB"/>
                    </w:rPr>
                  </w:pPr>
                  <w:proofErr w:type="spellStart"/>
                  <w:r w:rsidRPr="004A003A">
                    <w:rPr>
                      <w:rFonts w:cs="Arial"/>
                      <w:sz w:val="16"/>
                      <w:szCs w:val="16"/>
                      <w:lang w:val="en-GB"/>
                    </w:rPr>
                    <w:t>Hedrin</w:t>
                  </w:r>
                  <w:proofErr w:type="spellEnd"/>
                  <w:r w:rsidRPr="004A003A">
                    <w:rPr>
                      <w:rFonts w:cs="Arial"/>
                      <w:sz w:val="16"/>
                      <w:szCs w:val="16"/>
                      <w:lang w:val="en-GB"/>
                    </w:rPr>
                    <w:t>® Once Spray Gel (</w:t>
                  </w:r>
                  <w:proofErr w:type="spellStart"/>
                  <w:r w:rsidRPr="004A003A">
                    <w:rPr>
                      <w:rFonts w:cs="Arial"/>
                      <w:sz w:val="16"/>
                      <w:szCs w:val="16"/>
                      <w:lang w:val="en-GB"/>
                    </w:rPr>
                    <w:t>Penetrol</w:t>
                  </w:r>
                  <w:proofErr w:type="spellEnd"/>
                  <w:r w:rsidRPr="004A003A">
                    <w:rPr>
                      <w:rFonts w:cs="Arial"/>
                      <w:sz w:val="16"/>
                      <w:szCs w:val="16"/>
                      <w:lang w:val="en-GB"/>
                    </w:rPr>
                    <w:t>)</w:t>
                  </w:r>
                  <w:r>
                    <w:rPr>
                      <w:rFonts w:cs="Arial"/>
                      <w:sz w:val="16"/>
                      <w:szCs w:val="16"/>
                      <w:lang w:val="en-GB"/>
                    </w:rPr>
                    <w:t xml:space="preserve"> 250ml up to 10 applications</w:t>
                  </w:r>
                </w:p>
              </w:tc>
              <w:tc>
                <w:tcPr>
                  <w:tcW w:w="2826" w:type="dxa"/>
                  <w:tcBorders>
                    <w:top w:val="single" w:sz="4" w:space="0" w:color="auto"/>
                    <w:left w:val="single" w:sz="4" w:space="0" w:color="auto"/>
                    <w:bottom w:val="single" w:sz="4" w:space="0" w:color="auto"/>
                    <w:right w:val="single" w:sz="4" w:space="0" w:color="auto"/>
                  </w:tcBorders>
                </w:tcPr>
                <w:p w14:paraId="763D8850" w14:textId="77777777" w:rsidR="007B58CF" w:rsidRPr="00993885" w:rsidRDefault="007B58CF" w:rsidP="0024630D">
                  <w:pPr>
                    <w:spacing w:after="0"/>
                    <w:rPr>
                      <w:rFonts w:cs="Arial"/>
                      <w:sz w:val="16"/>
                      <w:szCs w:val="16"/>
                      <w:lang w:val="en-GB"/>
                    </w:rPr>
                  </w:pPr>
                  <w:r w:rsidRPr="00993885">
                    <w:rPr>
                      <w:rFonts w:cs="Arial"/>
                      <w:sz w:val="16"/>
                      <w:szCs w:val="16"/>
                      <w:lang w:val="en-GB"/>
                    </w:rPr>
                    <w:t xml:space="preserve">Oral re-hydration therapy (1x12) (ORS®) sachets </w:t>
                  </w:r>
                </w:p>
              </w:tc>
            </w:tr>
            <w:tr w:rsidR="007B58CF" w14:paraId="40A55194" w14:textId="77777777" w:rsidTr="0024630D">
              <w:trPr>
                <w:trHeight w:val="261"/>
                <w:jc w:val="center"/>
              </w:trPr>
              <w:tc>
                <w:tcPr>
                  <w:tcW w:w="3109" w:type="dxa"/>
                  <w:tcBorders>
                    <w:top w:val="single" w:sz="4" w:space="0" w:color="auto"/>
                    <w:left w:val="single" w:sz="4" w:space="0" w:color="auto"/>
                    <w:bottom w:val="single" w:sz="4" w:space="0" w:color="auto"/>
                    <w:right w:val="single" w:sz="4" w:space="0" w:color="auto"/>
                  </w:tcBorders>
                </w:tcPr>
                <w:p w14:paraId="6071617D" w14:textId="77777777" w:rsidR="007B58CF" w:rsidRPr="00993885" w:rsidRDefault="007B58CF" w:rsidP="0024630D">
                  <w:pPr>
                    <w:spacing w:after="0"/>
                    <w:rPr>
                      <w:rFonts w:cs="Arial"/>
                      <w:sz w:val="16"/>
                      <w:szCs w:val="16"/>
                      <w:lang w:val="en-GB"/>
                    </w:rPr>
                  </w:pPr>
                  <w:proofErr w:type="spellStart"/>
                  <w:r w:rsidRPr="00993885">
                    <w:rPr>
                      <w:rFonts w:cs="Arial"/>
                      <w:sz w:val="16"/>
                      <w:szCs w:val="16"/>
                      <w:lang w:val="en-GB"/>
                    </w:rPr>
                    <w:t>Benzydamine</w:t>
                  </w:r>
                  <w:proofErr w:type="spellEnd"/>
                  <w:r w:rsidRPr="00993885">
                    <w:rPr>
                      <w:rFonts w:cs="Arial"/>
                      <w:sz w:val="16"/>
                      <w:szCs w:val="16"/>
                      <w:lang w:val="en-GB"/>
                    </w:rPr>
                    <w:t xml:space="preserve"> 0.15% (</w:t>
                  </w:r>
                  <w:proofErr w:type="spellStart"/>
                  <w:r w:rsidRPr="00993885">
                    <w:rPr>
                      <w:rFonts w:cs="Arial"/>
                      <w:sz w:val="16"/>
                      <w:szCs w:val="16"/>
                      <w:lang w:val="en-GB"/>
                    </w:rPr>
                    <w:t>Difflam</w:t>
                  </w:r>
                  <w:proofErr w:type="spellEnd"/>
                  <w:r w:rsidRPr="00993885">
                    <w:rPr>
                      <w:rFonts w:cs="Arial"/>
                      <w:sz w:val="16"/>
                      <w:szCs w:val="16"/>
                      <w:lang w:val="en-GB"/>
                    </w:rPr>
                    <w:t>®) spray (1x30ml)</w:t>
                  </w:r>
                </w:p>
              </w:tc>
              <w:tc>
                <w:tcPr>
                  <w:tcW w:w="3261" w:type="dxa"/>
                  <w:tcBorders>
                    <w:top w:val="single" w:sz="4" w:space="0" w:color="auto"/>
                    <w:left w:val="single" w:sz="4" w:space="0" w:color="auto"/>
                    <w:bottom w:val="single" w:sz="4" w:space="0" w:color="auto"/>
                    <w:right w:val="single" w:sz="4" w:space="0" w:color="auto"/>
                  </w:tcBorders>
                </w:tcPr>
                <w:p w14:paraId="78B5E20E" w14:textId="77777777" w:rsidR="007B58CF" w:rsidRPr="00993885" w:rsidRDefault="007B58CF" w:rsidP="0024630D">
                  <w:pPr>
                    <w:spacing w:after="0"/>
                    <w:rPr>
                      <w:rFonts w:cs="Arial"/>
                      <w:sz w:val="16"/>
                      <w:szCs w:val="16"/>
                      <w:lang w:val="en-GB"/>
                    </w:rPr>
                  </w:pPr>
                  <w:r w:rsidRPr="00993885">
                    <w:rPr>
                      <w:rFonts w:cs="Arial"/>
                      <w:sz w:val="16"/>
                      <w:szCs w:val="16"/>
                      <w:lang w:val="en-GB"/>
                    </w:rPr>
                    <w:t>Fluconazole 150mg capsule (x1)</w:t>
                  </w:r>
                </w:p>
                <w:p w14:paraId="74AE37A2" w14:textId="77777777" w:rsidR="007B58CF" w:rsidRPr="00993885" w:rsidRDefault="007B58CF" w:rsidP="0024630D">
                  <w:pPr>
                    <w:spacing w:after="0"/>
                    <w:rPr>
                      <w:rFonts w:cs="Arial"/>
                      <w:sz w:val="16"/>
                      <w:szCs w:val="16"/>
                      <w:lang w:val="en-GB"/>
                    </w:rPr>
                  </w:pPr>
                </w:p>
              </w:tc>
              <w:tc>
                <w:tcPr>
                  <w:tcW w:w="2826" w:type="dxa"/>
                  <w:tcBorders>
                    <w:top w:val="single" w:sz="4" w:space="0" w:color="auto"/>
                    <w:left w:val="single" w:sz="4" w:space="0" w:color="auto"/>
                    <w:bottom w:val="single" w:sz="4" w:space="0" w:color="auto"/>
                    <w:right w:val="single" w:sz="4" w:space="0" w:color="auto"/>
                  </w:tcBorders>
                </w:tcPr>
                <w:p w14:paraId="5A992821" w14:textId="77777777" w:rsidR="007B58CF" w:rsidRPr="00993885" w:rsidRDefault="007B58CF" w:rsidP="0024630D">
                  <w:pPr>
                    <w:spacing w:after="0"/>
                    <w:rPr>
                      <w:rFonts w:cs="Arial"/>
                      <w:sz w:val="16"/>
                      <w:szCs w:val="16"/>
                      <w:lang w:val="en-GB"/>
                    </w:rPr>
                  </w:pPr>
                  <w:r w:rsidRPr="00993885">
                    <w:rPr>
                      <w:rFonts w:cs="Arial"/>
                      <w:sz w:val="16"/>
                      <w:szCs w:val="16"/>
                      <w:lang w:val="en-GB"/>
                    </w:rPr>
                    <w:t xml:space="preserve">Paracetamol 120mg/5ml suspension (1x100ml) </w:t>
                  </w:r>
                </w:p>
              </w:tc>
            </w:tr>
            <w:tr w:rsidR="007B58CF" w14:paraId="69AECDB4" w14:textId="77777777" w:rsidTr="0024630D">
              <w:trPr>
                <w:trHeight w:val="262"/>
                <w:jc w:val="center"/>
              </w:trPr>
              <w:tc>
                <w:tcPr>
                  <w:tcW w:w="3109" w:type="dxa"/>
                  <w:tcBorders>
                    <w:top w:val="single" w:sz="4" w:space="0" w:color="auto"/>
                    <w:left w:val="single" w:sz="4" w:space="0" w:color="auto"/>
                    <w:bottom w:val="single" w:sz="4" w:space="0" w:color="auto"/>
                    <w:right w:val="single" w:sz="4" w:space="0" w:color="auto"/>
                  </w:tcBorders>
                </w:tcPr>
                <w:p w14:paraId="21378192" w14:textId="77777777" w:rsidR="007B58CF" w:rsidRPr="00993885" w:rsidRDefault="007B58CF" w:rsidP="0024630D">
                  <w:pPr>
                    <w:spacing w:after="0"/>
                    <w:rPr>
                      <w:rFonts w:cs="Arial"/>
                      <w:sz w:val="16"/>
                      <w:szCs w:val="16"/>
                      <w:lang w:val="en-GB"/>
                    </w:rPr>
                  </w:pPr>
                  <w:proofErr w:type="spellStart"/>
                  <w:r w:rsidRPr="00993885">
                    <w:rPr>
                      <w:rFonts w:cs="Arial"/>
                      <w:sz w:val="16"/>
                      <w:szCs w:val="16"/>
                      <w:lang w:val="en-GB"/>
                    </w:rPr>
                    <w:t>Buccastem</w:t>
                  </w:r>
                  <w:proofErr w:type="spellEnd"/>
                  <w:r w:rsidRPr="00993885">
                    <w:rPr>
                      <w:rFonts w:cs="Arial"/>
                      <w:sz w:val="16"/>
                      <w:szCs w:val="16"/>
                      <w:lang w:val="en-GB"/>
                    </w:rPr>
                    <w:t xml:space="preserve"> 3mg Tablets (1x8)</w:t>
                  </w:r>
                </w:p>
              </w:tc>
              <w:tc>
                <w:tcPr>
                  <w:tcW w:w="3261" w:type="dxa"/>
                  <w:tcBorders>
                    <w:top w:val="single" w:sz="4" w:space="0" w:color="auto"/>
                    <w:left w:val="single" w:sz="4" w:space="0" w:color="auto"/>
                    <w:bottom w:val="single" w:sz="4" w:space="0" w:color="auto"/>
                    <w:right w:val="single" w:sz="4" w:space="0" w:color="auto"/>
                  </w:tcBorders>
                </w:tcPr>
                <w:p w14:paraId="6972799B" w14:textId="77777777" w:rsidR="007B58CF" w:rsidRPr="00993885" w:rsidRDefault="007B58CF" w:rsidP="0024630D">
                  <w:pPr>
                    <w:spacing w:after="0"/>
                    <w:rPr>
                      <w:rFonts w:cs="Arial"/>
                      <w:sz w:val="16"/>
                      <w:szCs w:val="16"/>
                      <w:lang w:val="en-GB"/>
                    </w:rPr>
                  </w:pPr>
                  <w:r w:rsidRPr="00993885">
                    <w:rPr>
                      <w:rFonts w:cs="Arial"/>
                      <w:sz w:val="16"/>
                      <w:szCs w:val="16"/>
                      <w:lang w:val="en-GB"/>
                    </w:rPr>
                    <w:t>Hydrocortisone 1% cream (1x15g)</w:t>
                  </w:r>
                </w:p>
              </w:tc>
              <w:tc>
                <w:tcPr>
                  <w:tcW w:w="2826" w:type="dxa"/>
                  <w:tcBorders>
                    <w:top w:val="single" w:sz="4" w:space="0" w:color="auto"/>
                    <w:left w:val="single" w:sz="4" w:space="0" w:color="auto"/>
                    <w:bottom w:val="single" w:sz="4" w:space="0" w:color="auto"/>
                    <w:right w:val="single" w:sz="4" w:space="0" w:color="auto"/>
                  </w:tcBorders>
                </w:tcPr>
                <w:p w14:paraId="67B018A8" w14:textId="77777777" w:rsidR="007B58CF" w:rsidRPr="00993885" w:rsidRDefault="007B58CF" w:rsidP="0024630D">
                  <w:pPr>
                    <w:spacing w:after="0"/>
                    <w:rPr>
                      <w:rFonts w:cs="Arial"/>
                      <w:sz w:val="16"/>
                      <w:szCs w:val="16"/>
                      <w:lang w:val="en-GB"/>
                    </w:rPr>
                  </w:pPr>
                  <w:r w:rsidRPr="00993885">
                    <w:rPr>
                      <w:rFonts w:cs="Arial"/>
                      <w:sz w:val="16"/>
                      <w:szCs w:val="16"/>
                      <w:lang w:val="en-GB"/>
                    </w:rPr>
                    <w:t xml:space="preserve">Paracetamol 250mg/5ml suspension (1x100ml) </w:t>
                  </w:r>
                </w:p>
              </w:tc>
            </w:tr>
            <w:tr w:rsidR="007B58CF" w14:paraId="503E96D2" w14:textId="77777777" w:rsidTr="0024630D">
              <w:trPr>
                <w:trHeight w:val="261"/>
                <w:jc w:val="center"/>
              </w:trPr>
              <w:tc>
                <w:tcPr>
                  <w:tcW w:w="3109" w:type="dxa"/>
                  <w:tcBorders>
                    <w:top w:val="single" w:sz="4" w:space="0" w:color="auto"/>
                    <w:left w:val="single" w:sz="4" w:space="0" w:color="auto"/>
                    <w:bottom w:val="single" w:sz="4" w:space="0" w:color="auto"/>
                    <w:right w:val="single" w:sz="4" w:space="0" w:color="auto"/>
                  </w:tcBorders>
                </w:tcPr>
                <w:p w14:paraId="72166913" w14:textId="77777777" w:rsidR="007B58CF" w:rsidRPr="00993885" w:rsidRDefault="007B58CF" w:rsidP="0024630D">
                  <w:pPr>
                    <w:spacing w:after="0"/>
                    <w:rPr>
                      <w:rFonts w:cs="Arial"/>
                      <w:sz w:val="16"/>
                      <w:szCs w:val="16"/>
                      <w:lang w:val="en-GB"/>
                    </w:rPr>
                  </w:pPr>
                  <w:r w:rsidRPr="00993885">
                    <w:rPr>
                      <w:rFonts w:cs="Arial"/>
                      <w:sz w:val="16"/>
                      <w:szCs w:val="16"/>
                      <w:lang w:val="en-GB"/>
                    </w:rPr>
                    <w:t>Cetirizine 10mg tablets (1x30)</w:t>
                  </w:r>
                </w:p>
                <w:p w14:paraId="60C9F350" w14:textId="77777777" w:rsidR="007B58CF" w:rsidRPr="00993885" w:rsidRDefault="007B58CF" w:rsidP="0024630D">
                  <w:pPr>
                    <w:spacing w:after="0"/>
                    <w:rPr>
                      <w:rFonts w:cs="Arial"/>
                      <w:sz w:val="16"/>
                      <w:szCs w:val="16"/>
                      <w:lang w:val="en-GB"/>
                    </w:rPr>
                  </w:pPr>
                </w:p>
              </w:tc>
              <w:tc>
                <w:tcPr>
                  <w:tcW w:w="3261" w:type="dxa"/>
                  <w:tcBorders>
                    <w:top w:val="single" w:sz="4" w:space="0" w:color="auto"/>
                    <w:left w:val="single" w:sz="4" w:space="0" w:color="auto"/>
                    <w:bottom w:val="single" w:sz="4" w:space="0" w:color="auto"/>
                    <w:right w:val="single" w:sz="4" w:space="0" w:color="auto"/>
                  </w:tcBorders>
                </w:tcPr>
                <w:p w14:paraId="3E88362E" w14:textId="77777777" w:rsidR="007B58CF" w:rsidRPr="00993885" w:rsidRDefault="007B58CF" w:rsidP="0024630D">
                  <w:pPr>
                    <w:spacing w:after="0"/>
                    <w:rPr>
                      <w:rFonts w:cs="Arial"/>
                      <w:sz w:val="16"/>
                      <w:szCs w:val="16"/>
                      <w:lang w:val="en-GB"/>
                    </w:rPr>
                  </w:pPr>
                  <w:r w:rsidRPr="00993885">
                    <w:rPr>
                      <w:rFonts w:cs="Arial"/>
                      <w:sz w:val="16"/>
                      <w:szCs w:val="16"/>
                      <w:lang w:val="en-GB"/>
                    </w:rPr>
                    <w:t xml:space="preserve">Hyoscine </w:t>
                  </w:r>
                  <w:proofErr w:type="spellStart"/>
                  <w:r w:rsidRPr="00993885">
                    <w:rPr>
                      <w:rFonts w:cs="Arial"/>
                      <w:sz w:val="16"/>
                      <w:szCs w:val="16"/>
                      <w:lang w:val="en-GB"/>
                    </w:rPr>
                    <w:t>Butylbromide</w:t>
                  </w:r>
                  <w:proofErr w:type="spellEnd"/>
                  <w:r w:rsidRPr="00993885">
                    <w:rPr>
                      <w:rFonts w:cs="Arial"/>
                      <w:sz w:val="16"/>
                      <w:szCs w:val="16"/>
                      <w:lang w:val="en-GB"/>
                    </w:rPr>
                    <w:t xml:space="preserve"> 10mg tablets (</w:t>
                  </w:r>
                  <w:proofErr w:type="spellStart"/>
                  <w:r w:rsidRPr="00993885">
                    <w:rPr>
                      <w:rFonts w:cs="Arial"/>
                      <w:sz w:val="16"/>
                      <w:szCs w:val="16"/>
                      <w:lang w:val="en-GB"/>
                    </w:rPr>
                    <w:t>Buscopan</w:t>
                  </w:r>
                  <w:proofErr w:type="spellEnd"/>
                  <w:r>
                    <w:rPr>
                      <w:rFonts w:cs="Arial"/>
                      <w:sz w:val="16"/>
                      <w:szCs w:val="16"/>
                      <w:lang w:val="en-GB"/>
                    </w:rPr>
                    <w:t xml:space="preserve"> IBS Relief</w:t>
                  </w:r>
                  <w:r w:rsidRPr="00993885">
                    <w:rPr>
                      <w:rFonts w:cs="Arial"/>
                      <w:sz w:val="16"/>
                      <w:szCs w:val="16"/>
                      <w:lang w:val="en-GB"/>
                    </w:rPr>
                    <w:t>®) (1x20)</w:t>
                  </w:r>
                </w:p>
              </w:tc>
              <w:tc>
                <w:tcPr>
                  <w:tcW w:w="2826" w:type="dxa"/>
                  <w:tcBorders>
                    <w:top w:val="single" w:sz="4" w:space="0" w:color="auto"/>
                    <w:left w:val="single" w:sz="4" w:space="0" w:color="auto"/>
                    <w:bottom w:val="single" w:sz="4" w:space="0" w:color="auto"/>
                    <w:right w:val="single" w:sz="4" w:space="0" w:color="auto"/>
                  </w:tcBorders>
                </w:tcPr>
                <w:p w14:paraId="0A934EB1" w14:textId="77777777" w:rsidR="007B58CF" w:rsidRPr="00993885" w:rsidRDefault="007B58CF" w:rsidP="0024630D">
                  <w:pPr>
                    <w:spacing w:after="0"/>
                    <w:rPr>
                      <w:rFonts w:cs="Arial"/>
                      <w:sz w:val="16"/>
                      <w:szCs w:val="16"/>
                      <w:lang w:val="en-GB"/>
                    </w:rPr>
                  </w:pPr>
                  <w:proofErr w:type="spellStart"/>
                  <w:r w:rsidRPr="00993885">
                    <w:rPr>
                      <w:rFonts w:cs="Arial"/>
                      <w:sz w:val="16"/>
                      <w:szCs w:val="16"/>
                      <w:lang w:val="en-GB"/>
                    </w:rPr>
                    <w:t>Peptac</w:t>
                  </w:r>
                  <w:proofErr w:type="spellEnd"/>
                  <w:r w:rsidRPr="00993885">
                    <w:rPr>
                      <w:rFonts w:cs="Arial"/>
                      <w:sz w:val="16"/>
                      <w:szCs w:val="16"/>
                      <w:lang w:val="en-GB"/>
                    </w:rPr>
                    <w:t>® suspension (1x500ml)</w:t>
                  </w:r>
                </w:p>
              </w:tc>
            </w:tr>
            <w:tr w:rsidR="007B58CF" w:rsidRPr="006C2E0E" w14:paraId="42AFD5D9" w14:textId="77777777" w:rsidTr="0024630D">
              <w:trPr>
                <w:trHeight w:val="261"/>
                <w:jc w:val="center"/>
              </w:trPr>
              <w:tc>
                <w:tcPr>
                  <w:tcW w:w="3109" w:type="dxa"/>
                  <w:tcBorders>
                    <w:top w:val="single" w:sz="4" w:space="0" w:color="auto"/>
                    <w:left w:val="single" w:sz="4" w:space="0" w:color="auto"/>
                    <w:bottom w:val="single" w:sz="4" w:space="0" w:color="auto"/>
                    <w:right w:val="single" w:sz="4" w:space="0" w:color="auto"/>
                  </w:tcBorders>
                </w:tcPr>
                <w:p w14:paraId="0C2CCAD0" w14:textId="77777777" w:rsidR="007B58CF" w:rsidRPr="00993885" w:rsidRDefault="007B58CF" w:rsidP="0024630D">
                  <w:pPr>
                    <w:spacing w:after="0"/>
                    <w:rPr>
                      <w:rFonts w:cs="Arial"/>
                      <w:sz w:val="16"/>
                      <w:szCs w:val="16"/>
                      <w:lang w:val="en-GB"/>
                    </w:rPr>
                  </w:pPr>
                  <w:r w:rsidRPr="00993885">
                    <w:rPr>
                      <w:rFonts w:cs="Arial"/>
                      <w:sz w:val="16"/>
                      <w:szCs w:val="16"/>
                      <w:lang w:val="en-GB"/>
                    </w:rPr>
                    <w:t>Cetirizine 1mg/ml solution (1x200 ml)</w:t>
                  </w:r>
                </w:p>
              </w:tc>
              <w:tc>
                <w:tcPr>
                  <w:tcW w:w="3261" w:type="dxa"/>
                  <w:tcBorders>
                    <w:top w:val="single" w:sz="4" w:space="0" w:color="auto"/>
                    <w:left w:val="single" w:sz="4" w:space="0" w:color="auto"/>
                    <w:bottom w:val="single" w:sz="4" w:space="0" w:color="auto"/>
                    <w:right w:val="single" w:sz="4" w:space="0" w:color="auto"/>
                  </w:tcBorders>
                </w:tcPr>
                <w:p w14:paraId="2D6D3CD8" w14:textId="77777777" w:rsidR="007B58CF" w:rsidRPr="00993885" w:rsidRDefault="007B58CF" w:rsidP="0024630D">
                  <w:pPr>
                    <w:spacing w:after="0"/>
                    <w:rPr>
                      <w:rFonts w:cs="Arial"/>
                      <w:sz w:val="16"/>
                      <w:szCs w:val="16"/>
                      <w:lang w:val="en-GB"/>
                    </w:rPr>
                  </w:pPr>
                  <w:r w:rsidRPr="00993885">
                    <w:rPr>
                      <w:rFonts w:cs="Arial"/>
                      <w:sz w:val="16"/>
                      <w:szCs w:val="16"/>
                      <w:lang w:val="en-GB"/>
                    </w:rPr>
                    <w:t>Ibuprofen 100mg/5ml suspension (1x100 ml)</w:t>
                  </w:r>
                </w:p>
              </w:tc>
              <w:tc>
                <w:tcPr>
                  <w:tcW w:w="2826" w:type="dxa"/>
                  <w:tcBorders>
                    <w:top w:val="single" w:sz="4" w:space="0" w:color="auto"/>
                    <w:left w:val="single" w:sz="4" w:space="0" w:color="auto"/>
                    <w:bottom w:val="single" w:sz="4" w:space="0" w:color="auto"/>
                    <w:right w:val="single" w:sz="4" w:space="0" w:color="auto"/>
                  </w:tcBorders>
                </w:tcPr>
                <w:p w14:paraId="52C3F58C" w14:textId="77777777" w:rsidR="007B58CF" w:rsidRPr="00993885" w:rsidRDefault="007B58CF" w:rsidP="0024630D">
                  <w:pPr>
                    <w:spacing w:after="0"/>
                    <w:rPr>
                      <w:rFonts w:cs="Arial"/>
                      <w:sz w:val="16"/>
                      <w:szCs w:val="16"/>
                      <w:lang w:val="en-GB"/>
                    </w:rPr>
                  </w:pPr>
                  <w:r w:rsidRPr="00993885">
                    <w:rPr>
                      <w:rFonts w:cs="Arial"/>
                      <w:sz w:val="16"/>
                      <w:szCs w:val="16"/>
                      <w:lang w:val="en-GB"/>
                    </w:rPr>
                    <w:t>Permethrin Cream 5% 30g</w:t>
                  </w:r>
                </w:p>
              </w:tc>
            </w:tr>
            <w:tr w:rsidR="007B58CF" w:rsidRPr="006C2E0E" w14:paraId="6CD12F6C" w14:textId="77777777" w:rsidTr="0024630D">
              <w:trPr>
                <w:trHeight w:val="261"/>
                <w:jc w:val="center"/>
              </w:trPr>
              <w:tc>
                <w:tcPr>
                  <w:tcW w:w="3109" w:type="dxa"/>
                  <w:tcBorders>
                    <w:top w:val="single" w:sz="4" w:space="0" w:color="auto"/>
                    <w:left w:val="single" w:sz="4" w:space="0" w:color="auto"/>
                    <w:bottom w:val="single" w:sz="4" w:space="0" w:color="auto"/>
                    <w:right w:val="single" w:sz="4" w:space="0" w:color="auto"/>
                  </w:tcBorders>
                </w:tcPr>
                <w:p w14:paraId="6EABC570" w14:textId="77777777" w:rsidR="007B58CF" w:rsidRPr="00993885" w:rsidRDefault="007B58CF" w:rsidP="0024630D">
                  <w:pPr>
                    <w:spacing w:after="0"/>
                    <w:rPr>
                      <w:rFonts w:cs="Arial"/>
                      <w:sz w:val="16"/>
                      <w:szCs w:val="16"/>
                      <w:lang w:val="en-GB"/>
                    </w:rPr>
                  </w:pPr>
                  <w:r w:rsidRPr="00993885">
                    <w:rPr>
                      <w:rFonts w:cs="Arial"/>
                      <w:sz w:val="16"/>
                      <w:szCs w:val="16"/>
                      <w:lang w:val="en-GB"/>
                    </w:rPr>
                    <w:t>Chloramphenicol 0.5% eye drops (1x10ml) (</w:t>
                  </w:r>
                  <w:proofErr w:type="spellStart"/>
                  <w:r w:rsidRPr="00993885">
                    <w:rPr>
                      <w:rFonts w:cs="Arial"/>
                      <w:sz w:val="16"/>
                      <w:szCs w:val="16"/>
                      <w:lang w:val="en-GB"/>
                    </w:rPr>
                    <w:t>Optrex</w:t>
                  </w:r>
                  <w:proofErr w:type="spellEnd"/>
                  <w:r w:rsidRPr="00993885">
                    <w:rPr>
                      <w:rFonts w:cs="Arial"/>
                      <w:sz w:val="16"/>
                      <w:szCs w:val="16"/>
                      <w:lang w:val="en-GB"/>
                    </w:rPr>
                    <w:t>® [P])</w:t>
                  </w:r>
                </w:p>
              </w:tc>
              <w:tc>
                <w:tcPr>
                  <w:tcW w:w="3261" w:type="dxa"/>
                  <w:tcBorders>
                    <w:top w:val="single" w:sz="4" w:space="0" w:color="auto"/>
                    <w:left w:val="single" w:sz="4" w:space="0" w:color="auto"/>
                    <w:bottom w:val="single" w:sz="4" w:space="0" w:color="auto"/>
                    <w:right w:val="single" w:sz="4" w:space="0" w:color="auto"/>
                  </w:tcBorders>
                </w:tcPr>
                <w:p w14:paraId="4EC25133" w14:textId="77777777" w:rsidR="007B58CF" w:rsidRPr="00993885" w:rsidRDefault="007B58CF" w:rsidP="0024630D">
                  <w:pPr>
                    <w:spacing w:after="0"/>
                    <w:rPr>
                      <w:rFonts w:cs="Arial"/>
                      <w:sz w:val="16"/>
                      <w:szCs w:val="16"/>
                      <w:lang w:val="en-GB"/>
                    </w:rPr>
                  </w:pPr>
                  <w:r w:rsidRPr="00993885">
                    <w:rPr>
                      <w:rFonts w:cs="Arial"/>
                      <w:sz w:val="16"/>
                      <w:szCs w:val="16"/>
                      <w:lang w:val="en-GB"/>
                    </w:rPr>
                    <w:t>Ibuprofen 5% gel (1xop)</w:t>
                  </w:r>
                </w:p>
                <w:p w14:paraId="0FB1E094" w14:textId="77777777" w:rsidR="007B58CF" w:rsidRPr="00993885" w:rsidRDefault="007B58CF" w:rsidP="0024630D">
                  <w:pPr>
                    <w:spacing w:after="0"/>
                    <w:rPr>
                      <w:rFonts w:cs="Arial"/>
                      <w:sz w:val="16"/>
                      <w:szCs w:val="16"/>
                      <w:lang w:val="en-GB"/>
                    </w:rPr>
                  </w:pPr>
                  <w:r w:rsidRPr="00993885">
                    <w:rPr>
                      <w:rFonts w:cs="Arial"/>
                      <w:sz w:val="16"/>
                      <w:szCs w:val="16"/>
                      <w:lang w:val="en-GB"/>
                    </w:rPr>
                    <w:t xml:space="preserve">Recommend </w:t>
                  </w:r>
                  <w:proofErr w:type="spellStart"/>
                  <w:r w:rsidRPr="00993885">
                    <w:rPr>
                      <w:rFonts w:cs="Arial"/>
                      <w:sz w:val="16"/>
                      <w:szCs w:val="16"/>
                      <w:lang w:val="en-GB"/>
                    </w:rPr>
                    <w:t>Fenbid</w:t>
                  </w:r>
                  <w:proofErr w:type="spellEnd"/>
                  <w:r w:rsidRPr="00993885">
                    <w:rPr>
                      <w:rFonts w:cs="Arial"/>
                      <w:sz w:val="16"/>
                      <w:szCs w:val="16"/>
                      <w:lang w:val="en-GB"/>
                    </w:rPr>
                    <w:t>® 100g</w:t>
                  </w:r>
                </w:p>
              </w:tc>
              <w:tc>
                <w:tcPr>
                  <w:tcW w:w="2826" w:type="dxa"/>
                  <w:tcBorders>
                    <w:top w:val="single" w:sz="4" w:space="0" w:color="auto"/>
                    <w:left w:val="single" w:sz="4" w:space="0" w:color="auto"/>
                    <w:bottom w:val="single" w:sz="4" w:space="0" w:color="auto"/>
                    <w:right w:val="single" w:sz="4" w:space="0" w:color="auto"/>
                  </w:tcBorders>
                </w:tcPr>
                <w:p w14:paraId="36015972" w14:textId="77777777" w:rsidR="007B58CF" w:rsidRPr="00993885" w:rsidRDefault="007B58CF" w:rsidP="0024630D">
                  <w:pPr>
                    <w:spacing w:after="0"/>
                    <w:rPr>
                      <w:rFonts w:cs="Arial"/>
                      <w:sz w:val="16"/>
                      <w:szCs w:val="16"/>
                      <w:lang w:val="en-GB"/>
                    </w:rPr>
                  </w:pPr>
                  <w:proofErr w:type="spellStart"/>
                  <w:r w:rsidRPr="00993885">
                    <w:rPr>
                      <w:rFonts w:cs="Arial"/>
                      <w:sz w:val="16"/>
                      <w:szCs w:val="16"/>
                      <w:lang w:val="en-GB"/>
                    </w:rPr>
                    <w:t>Salactac</w:t>
                  </w:r>
                  <w:proofErr w:type="spellEnd"/>
                  <w:r w:rsidRPr="00993885">
                    <w:rPr>
                      <w:rFonts w:cs="Arial"/>
                      <w:sz w:val="16"/>
                      <w:szCs w:val="16"/>
                      <w:lang w:val="en-GB"/>
                    </w:rPr>
                    <w:t>® Gel 8g</w:t>
                  </w:r>
                </w:p>
              </w:tc>
            </w:tr>
            <w:tr w:rsidR="007B58CF" w:rsidRPr="006C2E0E" w14:paraId="37994E2F" w14:textId="77777777" w:rsidTr="0024630D">
              <w:trPr>
                <w:trHeight w:val="261"/>
                <w:jc w:val="center"/>
              </w:trPr>
              <w:tc>
                <w:tcPr>
                  <w:tcW w:w="3109" w:type="dxa"/>
                  <w:tcBorders>
                    <w:top w:val="single" w:sz="4" w:space="0" w:color="auto"/>
                    <w:left w:val="single" w:sz="4" w:space="0" w:color="auto"/>
                    <w:bottom w:val="single" w:sz="4" w:space="0" w:color="auto"/>
                    <w:right w:val="single" w:sz="4" w:space="0" w:color="auto"/>
                  </w:tcBorders>
                </w:tcPr>
                <w:p w14:paraId="3015273D" w14:textId="77777777" w:rsidR="007B58CF" w:rsidRPr="00993885" w:rsidRDefault="007B58CF" w:rsidP="0024630D">
                  <w:pPr>
                    <w:spacing w:after="0"/>
                    <w:rPr>
                      <w:rFonts w:cs="Arial"/>
                      <w:sz w:val="16"/>
                      <w:szCs w:val="16"/>
                      <w:lang w:val="en-GB"/>
                    </w:rPr>
                  </w:pPr>
                  <w:r w:rsidRPr="00993885">
                    <w:rPr>
                      <w:rFonts w:cs="Arial"/>
                      <w:sz w:val="16"/>
                      <w:szCs w:val="16"/>
                      <w:lang w:val="en-GB"/>
                    </w:rPr>
                    <w:t>Chloramphenicol 1% eye ointment (1x4g) (</w:t>
                  </w:r>
                  <w:proofErr w:type="spellStart"/>
                  <w:r w:rsidRPr="00993885">
                    <w:rPr>
                      <w:rFonts w:cs="Arial"/>
                      <w:sz w:val="16"/>
                      <w:szCs w:val="16"/>
                      <w:lang w:val="en-GB"/>
                    </w:rPr>
                    <w:t>Optrex</w:t>
                  </w:r>
                  <w:proofErr w:type="spellEnd"/>
                  <w:r w:rsidRPr="00993885">
                    <w:rPr>
                      <w:rFonts w:cs="Arial"/>
                      <w:sz w:val="16"/>
                      <w:szCs w:val="16"/>
                      <w:lang w:val="en-GB"/>
                    </w:rPr>
                    <w:t>® [P])</w:t>
                  </w:r>
                </w:p>
              </w:tc>
              <w:tc>
                <w:tcPr>
                  <w:tcW w:w="3261" w:type="dxa"/>
                  <w:tcBorders>
                    <w:top w:val="single" w:sz="4" w:space="0" w:color="auto"/>
                    <w:left w:val="single" w:sz="4" w:space="0" w:color="auto"/>
                    <w:bottom w:val="single" w:sz="4" w:space="0" w:color="auto"/>
                    <w:right w:val="single" w:sz="4" w:space="0" w:color="auto"/>
                  </w:tcBorders>
                </w:tcPr>
                <w:p w14:paraId="368F234E" w14:textId="77777777" w:rsidR="007B58CF" w:rsidRPr="00993885" w:rsidRDefault="007B58CF" w:rsidP="0024630D">
                  <w:pPr>
                    <w:spacing w:after="0"/>
                    <w:rPr>
                      <w:rFonts w:cs="Arial"/>
                      <w:sz w:val="16"/>
                      <w:szCs w:val="16"/>
                      <w:lang w:val="en-GB"/>
                    </w:rPr>
                  </w:pPr>
                  <w:r w:rsidRPr="00993885">
                    <w:rPr>
                      <w:rFonts w:cs="Arial"/>
                      <w:sz w:val="16"/>
                      <w:szCs w:val="16"/>
                      <w:lang w:val="en-GB"/>
                    </w:rPr>
                    <w:t>Lactulose solution (1x500ml)</w:t>
                  </w:r>
                </w:p>
              </w:tc>
              <w:tc>
                <w:tcPr>
                  <w:tcW w:w="2826" w:type="dxa"/>
                  <w:tcBorders>
                    <w:top w:val="single" w:sz="4" w:space="0" w:color="auto"/>
                    <w:left w:val="single" w:sz="4" w:space="0" w:color="auto"/>
                    <w:bottom w:val="single" w:sz="4" w:space="0" w:color="auto"/>
                    <w:right w:val="single" w:sz="4" w:space="0" w:color="auto"/>
                  </w:tcBorders>
                </w:tcPr>
                <w:p w14:paraId="2C4A4081" w14:textId="77777777" w:rsidR="007B58CF" w:rsidRPr="00993885" w:rsidRDefault="007B58CF" w:rsidP="0024630D">
                  <w:pPr>
                    <w:spacing w:after="0"/>
                    <w:rPr>
                      <w:rFonts w:cs="Arial"/>
                      <w:sz w:val="16"/>
                      <w:szCs w:val="16"/>
                      <w:lang w:val="en-GB"/>
                    </w:rPr>
                  </w:pPr>
                  <w:r w:rsidRPr="00993885">
                    <w:rPr>
                      <w:rFonts w:cs="Arial"/>
                      <w:sz w:val="16"/>
                      <w:szCs w:val="16"/>
                      <w:lang w:val="en-GB"/>
                    </w:rPr>
                    <w:t xml:space="preserve">Saline nasal drops (NaCl) (1x10ml ) </w:t>
                  </w:r>
                </w:p>
              </w:tc>
            </w:tr>
            <w:tr w:rsidR="007B58CF" w:rsidRPr="006C2E0E" w14:paraId="13F4FDA9" w14:textId="77777777" w:rsidTr="0024630D">
              <w:trPr>
                <w:trHeight w:val="404"/>
                <w:jc w:val="center"/>
              </w:trPr>
              <w:tc>
                <w:tcPr>
                  <w:tcW w:w="3109" w:type="dxa"/>
                  <w:tcBorders>
                    <w:top w:val="single" w:sz="4" w:space="0" w:color="auto"/>
                    <w:left w:val="single" w:sz="4" w:space="0" w:color="auto"/>
                    <w:bottom w:val="single" w:sz="4" w:space="0" w:color="auto"/>
                    <w:right w:val="single" w:sz="4" w:space="0" w:color="auto"/>
                  </w:tcBorders>
                </w:tcPr>
                <w:p w14:paraId="0F593931" w14:textId="77777777" w:rsidR="007B58CF" w:rsidRPr="00993885" w:rsidRDefault="007B58CF" w:rsidP="0024630D">
                  <w:pPr>
                    <w:spacing w:after="0"/>
                    <w:rPr>
                      <w:rFonts w:cs="Arial"/>
                      <w:sz w:val="16"/>
                      <w:szCs w:val="16"/>
                      <w:lang w:val="en-GB"/>
                    </w:rPr>
                  </w:pPr>
                  <w:r w:rsidRPr="00993885">
                    <w:rPr>
                      <w:rFonts w:cs="Arial"/>
                      <w:sz w:val="16"/>
                      <w:szCs w:val="16"/>
                      <w:lang w:val="en-GB"/>
                    </w:rPr>
                    <w:t>Chlorhexidine Gluconate 0.2% mouthwash (1x300ml)</w:t>
                  </w:r>
                </w:p>
              </w:tc>
              <w:tc>
                <w:tcPr>
                  <w:tcW w:w="3261" w:type="dxa"/>
                  <w:tcBorders>
                    <w:top w:val="single" w:sz="4" w:space="0" w:color="auto"/>
                    <w:left w:val="single" w:sz="4" w:space="0" w:color="auto"/>
                    <w:bottom w:val="single" w:sz="4" w:space="0" w:color="auto"/>
                    <w:right w:val="single" w:sz="4" w:space="0" w:color="auto"/>
                  </w:tcBorders>
                </w:tcPr>
                <w:p w14:paraId="6CF3D7A7" w14:textId="77777777" w:rsidR="007B58CF" w:rsidRPr="00993885" w:rsidRDefault="007B58CF" w:rsidP="0024630D">
                  <w:pPr>
                    <w:spacing w:after="0"/>
                    <w:rPr>
                      <w:rFonts w:cs="Arial"/>
                      <w:sz w:val="16"/>
                      <w:szCs w:val="16"/>
                      <w:lang w:val="en-GB"/>
                    </w:rPr>
                  </w:pPr>
                  <w:r w:rsidRPr="00993885">
                    <w:rPr>
                      <w:rFonts w:cs="Arial"/>
                      <w:sz w:val="16"/>
                      <w:szCs w:val="16"/>
                      <w:lang w:val="en-GB"/>
                    </w:rPr>
                    <w:t>Loperamide 2mg capsules (1x6)</w:t>
                  </w:r>
                </w:p>
              </w:tc>
              <w:tc>
                <w:tcPr>
                  <w:tcW w:w="2826" w:type="dxa"/>
                  <w:tcBorders>
                    <w:top w:val="single" w:sz="4" w:space="0" w:color="auto"/>
                    <w:left w:val="single" w:sz="4" w:space="0" w:color="auto"/>
                    <w:bottom w:val="single" w:sz="4" w:space="0" w:color="auto"/>
                    <w:right w:val="single" w:sz="4" w:space="0" w:color="auto"/>
                  </w:tcBorders>
                </w:tcPr>
                <w:p w14:paraId="61A50D1D" w14:textId="77777777" w:rsidR="007B58CF" w:rsidRPr="00993885" w:rsidRDefault="007B58CF" w:rsidP="0024630D">
                  <w:pPr>
                    <w:spacing w:after="0"/>
                    <w:rPr>
                      <w:rFonts w:cs="Arial"/>
                      <w:sz w:val="16"/>
                      <w:szCs w:val="16"/>
                      <w:lang w:val="en-GB"/>
                    </w:rPr>
                  </w:pPr>
                  <w:r w:rsidRPr="00993885">
                    <w:rPr>
                      <w:rFonts w:cs="Arial"/>
                      <w:sz w:val="16"/>
                      <w:szCs w:val="16"/>
                      <w:lang w:val="en-GB"/>
                    </w:rPr>
                    <w:t>Senna tablets 7.5mg (</w:t>
                  </w:r>
                  <w:proofErr w:type="spellStart"/>
                  <w:r w:rsidRPr="00993885">
                    <w:rPr>
                      <w:rFonts w:cs="Arial"/>
                      <w:sz w:val="16"/>
                      <w:szCs w:val="16"/>
                      <w:lang w:val="en-GB"/>
                    </w:rPr>
                    <w:t>Sennokot</w:t>
                  </w:r>
                  <w:proofErr w:type="spellEnd"/>
                  <w:r w:rsidRPr="00993885">
                    <w:rPr>
                      <w:rFonts w:cs="Arial"/>
                      <w:sz w:val="16"/>
                      <w:szCs w:val="16"/>
                      <w:lang w:val="en-GB"/>
                    </w:rPr>
                    <w:t xml:space="preserve">®) tablets (1x20) </w:t>
                  </w:r>
                </w:p>
              </w:tc>
            </w:tr>
            <w:tr w:rsidR="007B58CF" w:rsidRPr="006C2E0E" w14:paraId="63495E1B" w14:textId="77777777" w:rsidTr="0024630D">
              <w:trPr>
                <w:trHeight w:val="404"/>
                <w:jc w:val="center"/>
              </w:trPr>
              <w:tc>
                <w:tcPr>
                  <w:tcW w:w="3109" w:type="dxa"/>
                  <w:tcBorders>
                    <w:top w:val="single" w:sz="4" w:space="0" w:color="auto"/>
                    <w:left w:val="single" w:sz="4" w:space="0" w:color="auto"/>
                    <w:bottom w:val="single" w:sz="4" w:space="0" w:color="auto"/>
                    <w:right w:val="single" w:sz="4" w:space="0" w:color="auto"/>
                  </w:tcBorders>
                </w:tcPr>
                <w:p w14:paraId="38B3F3FE" w14:textId="77777777" w:rsidR="007B58CF" w:rsidRPr="00993885" w:rsidRDefault="007B58CF" w:rsidP="0024630D">
                  <w:pPr>
                    <w:spacing w:after="0"/>
                    <w:rPr>
                      <w:rFonts w:cs="Arial"/>
                      <w:sz w:val="16"/>
                      <w:szCs w:val="16"/>
                      <w:lang w:val="en-GB"/>
                    </w:rPr>
                  </w:pPr>
                  <w:r w:rsidRPr="00993885">
                    <w:rPr>
                      <w:rFonts w:cs="Arial"/>
                      <w:sz w:val="16"/>
                      <w:szCs w:val="16"/>
                      <w:lang w:val="en-GB"/>
                    </w:rPr>
                    <w:t>Chlorphenamine 2mg/5ml liquid (sugar free) (1x150ml)</w:t>
                  </w:r>
                </w:p>
              </w:tc>
              <w:tc>
                <w:tcPr>
                  <w:tcW w:w="3261" w:type="dxa"/>
                  <w:tcBorders>
                    <w:top w:val="single" w:sz="4" w:space="0" w:color="auto"/>
                    <w:left w:val="single" w:sz="4" w:space="0" w:color="auto"/>
                    <w:bottom w:val="single" w:sz="4" w:space="0" w:color="auto"/>
                    <w:right w:val="single" w:sz="4" w:space="0" w:color="auto"/>
                  </w:tcBorders>
                </w:tcPr>
                <w:p w14:paraId="6AA42891" w14:textId="77777777" w:rsidR="007B58CF" w:rsidRPr="00993885" w:rsidRDefault="007B58CF" w:rsidP="0024630D">
                  <w:pPr>
                    <w:spacing w:after="0"/>
                    <w:rPr>
                      <w:rFonts w:cs="Arial"/>
                      <w:sz w:val="16"/>
                      <w:szCs w:val="16"/>
                      <w:lang w:val="en-GB"/>
                    </w:rPr>
                  </w:pPr>
                  <w:r w:rsidRPr="00993885">
                    <w:rPr>
                      <w:rFonts w:cs="Arial"/>
                      <w:sz w:val="16"/>
                      <w:szCs w:val="16"/>
                      <w:lang w:val="en-GB"/>
                    </w:rPr>
                    <w:t>Loratadine 10mg tablets (1x30)</w:t>
                  </w:r>
                </w:p>
              </w:tc>
              <w:tc>
                <w:tcPr>
                  <w:tcW w:w="2826" w:type="dxa"/>
                  <w:tcBorders>
                    <w:top w:val="single" w:sz="4" w:space="0" w:color="auto"/>
                    <w:left w:val="single" w:sz="4" w:space="0" w:color="auto"/>
                    <w:bottom w:val="single" w:sz="4" w:space="0" w:color="auto"/>
                    <w:right w:val="single" w:sz="4" w:space="0" w:color="auto"/>
                  </w:tcBorders>
                </w:tcPr>
                <w:p w14:paraId="36B545F3" w14:textId="77777777" w:rsidR="007B58CF" w:rsidRPr="00993885" w:rsidRDefault="007B58CF" w:rsidP="0024630D">
                  <w:pPr>
                    <w:spacing w:after="0"/>
                    <w:rPr>
                      <w:rFonts w:cs="Arial"/>
                      <w:sz w:val="16"/>
                      <w:szCs w:val="16"/>
                      <w:lang w:val="en-GB"/>
                    </w:rPr>
                  </w:pPr>
                  <w:r w:rsidRPr="00993885">
                    <w:rPr>
                      <w:rFonts w:cs="Arial"/>
                      <w:sz w:val="16"/>
                      <w:szCs w:val="16"/>
                      <w:lang w:val="en-GB"/>
                    </w:rPr>
                    <w:t xml:space="preserve">Sodium bicarbonate 5% ear drops 10ml </w:t>
                  </w:r>
                </w:p>
              </w:tc>
            </w:tr>
            <w:tr w:rsidR="007B58CF" w:rsidRPr="006C2E0E" w14:paraId="0B15268E" w14:textId="77777777" w:rsidTr="0024630D">
              <w:trPr>
                <w:trHeight w:val="262"/>
                <w:jc w:val="center"/>
              </w:trPr>
              <w:tc>
                <w:tcPr>
                  <w:tcW w:w="3109" w:type="dxa"/>
                  <w:tcBorders>
                    <w:top w:val="single" w:sz="4" w:space="0" w:color="auto"/>
                    <w:left w:val="single" w:sz="4" w:space="0" w:color="auto"/>
                    <w:bottom w:val="single" w:sz="4" w:space="0" w:color="auto"/>
                    <w:right w:val="single" w:sz="4" w:space="0" w:color="auto"/>
                  </w:tcBorders>
                </w:tcPr>
                <w:p w14:paraId="10AC220E" w14:textId="77777777" w:rsidR="007B58CF" w:rsidRPr="002B6E8E" w:rsidRDefault="007B58CF" w:rsidP="0024630D">
                  <w:pPr>
                    <w:spacing w:after="0"/>
                    <w:rPr>
                      <w:rFonts w:cs="Arial"/>
                      <w:sz w:val="16"/>
                      <w:szCs w:val="16"/>
                      <w:lang w:val="en-GB"/>
                    </w:rPr>
                  </w:pPr>
                  <w:r w:rsidRPr="002B6E8E">
                    <w:rPr>
                      <w:rFonts w:cs="Arial"/>
                      <w:sz w:val="16"/>
                      <w:szCs w:val="16"/>
                      <w:lang w:val="en-GB"/>
                    </w:rPr>
                    <w:t>Chlorphenamine 4mg tablets (1x28)</w:t>
                  </w:r>
                </w:p>
                <w:p w14:paraId="36A32A4F" w14:textId="77777777" w:rsidR="007B58CF" w:rsidRPr="002B6E8E" w:rsidRDefault="007B58CF" w:rsidP="0024630D">
                  <w:pPr>
                    <w:spacing w:after="0"/>
                    <w:rPr>
                      <w:rFonts w:cs="Arial"/>
                      <w:sz w:val="16"/>
                      <w:szCs w:val="16"/>
                      <w:lang w:val="en-GB"/>
                    </w:rPr>
                  </w:pPr>
                </w:p>
              </w:tc>
              <w:tc>
                <w:tcPr>
                  <w:tcW w:w="3261" w:type="dxa"/>
                  <w:tcBorders>
                    <w:top w:val="single" w:sz="4" w:space="0" w:color="auto"/>
                    <w:left w:val="single" w:sz="4" w:space="0" w:color="auto"/>
                    <w:bottom w:val="single" w:sz="4" w:space="0" w:color="auto"/>
                    <w:right w:val="single" w:sz="4" w:space="0" w:color="auto"/>
                  </w:tcBorders>
                </w:tcPr>
                <w:p w14:paraId="2C9AED85" w14:textId="77777777" w:rsidR="007B58CF" w:rsidRPr="00993885" w:rsidRDefault="007B58CF" w:rsidP="0024630D">
                  <w:pPr>
                    <w:spacing w:after="0"/>
                    <w:rPr>
                      <w:rFonts w:cs="Arial"/>
                      <w:sz w:val="16"/>
                      <w:szCs w:val="16"/>
                      <w:lang w:val="en-GB"/>
                    </w:rPr>
                  </w:pPr>
                  <w:r w:rsidRPr="00993885">
                    <w:rPr>
                      <w:rFonts w:cs="Arial"/>
                      <w:sz w:val="16"/>
                      <w:szCs w:val="16"/>
                      <w:lang w:val="en-GB"/>
                    </w:rPr>
                    <w:t>Loratadine 5mg/5ml syrup (1x100ml)</w:t>
                  </w:r>
                </w:p>
              </w:tc>
              <w:tc>
                <w:tcPr>
                  <w:tcW w:w="2826" w:type="dxa"/>
                  <w:tcBorders>
                    <w:top w:val="single" w:sz="4" w:space="0" w:color="auto"/>
                    <w:left w:val="single" w:sz="4" w:space="0" w:color="auto"/>
                    <w:bottom w:val="single" w:sz="4" w:space="0" w:color="auto"/>
                    <w:right w:val="single" w:sz="4" w:space="0" w:color="auto"/>
                  </w:tcBorders>
                </w:tcPr>
                <w:p w14:paraId="4E96D278" w14:textId="77777777" w:rsidR="007B58CF" w:rsidRPr="00993885" w:rsidRDefault="007B58CF" w:rsidP="0024630D">
                  <w:pPr>
                    <w:spacing w:after="0"/>
                    <w:rPr>
                      <w:rFonts w:cs="Arial"/>
                      <w:sz w:val="16"/>
                      <w:szCs w:val="16"/>
                      <w:lang w:val="en-GB"/>
                    </w:rPr>
                  </w:pPr>
                  <w:r w:rsidRPr="00993885">
                    <w:rPr>
                      <w:rFonts w:cs="Arial"/>
                      <w:sz w:val="16"/>
                      <w:szCs w:val="16"/>
                      <w:lang w:val="en-GB"/>
                    </w:rPr>
                    <w:t>Sodium cromoglicate 2% (</w:t>
                  </w:r>
                  <w:proofErr w:type="spellStart"/>
                  <w:r w:rsidRPr="00993885">
                    <w:rPr>
                      <w:rFonts w:cs="Arial"/>
                      <w:sz w:val="16"/>
                      <w:szCs w:val="16"/>
                      <w:lang w:val="en-GB"/>
                    </w:rPr>
                    <w:t>Opticrom</w:t>
                  </w:r>
                  <w:proofErr w:type="spellEnd"/>
                  <w:r w:rsidRPr="00993885">
                    <w:rPr>
                      <w:rFonts w:cs="Arial"/>
                      <w:sz w:val="16"/>
                      <w:szCs w:val="16"/>
                      <w:lang w:val="en-GB"/>
                    </w:rPr>
                    <w:t xml:space="preserve">®) eye drops (1x5ml) </w:t>
                  </w:r>
                </w:p>
              </w:tc>
            </w:tr>
            <w:tr w:rsidR="007B58CF" w:rsidRPr="006C2E0E" w14:paraId="0D6466E2" w14:textId="77777777" w:rsidTr="0024630D">
              <w:trPr>
                <w:trHeight w:val="261"/>
                <w:jc w:val="center"/>
              </w:trPr>
              <w:tc>
                <w:tcPr>
                  <w:tcW w:w="3109" w:type="dxa"/>
                  <w:tcBorders>
                    <w:top w:val="single" w:sz="4" w:space="0" w:color="auto"/>
                    <w:left w:val="single" w:sz="4" w:space="0" w:color="auto"/>
                    <w:bottom w:val="single" w:sz="4" w:space="0" w:color="auto"/>
                    <w:right w:val="single" w:sz="4" w:space="0" w:color="auto"/>
                  </w:tcBorders>
                </w:tcPr>
                <w:p w14:paraId="4574CAB6" w14:textId="77777777" w:rsidR="007B58CF" w:rsidRPr="002B6E8E" w:rsidRDefault="007B58CF" w:rsidP="0024630D">
                  <w:pPr>
                    <w:spacing w:after="0"/>
                    <w:rPr>
                      <w:rFonts w:cs="Arial"/>
                      <w:sz w:val="16"/>
                      <w:szCs w:val="16"/>
                      <w:lang w:val="en-GB"/>
                    </w:rPr>
                  </w:pPr>
                  <w:r w:rsidRPr="002B6E8E">
                    <w:rPr>
                      <w:rFonts w:cs="Arial"/>
                      <w:sz w:val="16"/>
                      <w:szCs w:val="16"/>
                      <w:lang w:val="en-GB"/>
                    </w:rPr>
                    <w:t>Choline salicylate 8.7% (</w:t>
                  </w:r>
                  <w:proofErr w:type="spellStart"/>
                  <w:r w:rsidRPr="002B6E8E">
                    <w:rPr>
                      <w:rFonts w:cs="Arial"/>
                      <w:sz w:val="16"/>
                      <w:szCs w:val="16"/>
                      <w:lang w:val="en-GB"/>
                    </w:rPr>
                    <w:t>Bonjela</w:t>
                  </w:r>
                  <w:proofErr w:type="spellEnd"/>
                  <w:r w:rsidRPr="002B6E8E">
                    <w:rPr>
                      <w:rFonts w:cs="Arial"/>
                      <w:sz w:val="16"/>
                      <w:szCs w:val="16"/>
                      <w:lang w:val="en-GB"/>
                    </w:rPr>
                    <w:t xml:space="preserve"> ®) (1x15g)</w:t>
                  </w:r>
                </w:p>
              </w:tc>
              <w:tc>
                <w:tcPr>
                  <w:tcW w:w="3261" w:type="dxa"/>
                  <w:tcBorders>
                    <w:top w:val="single" w:sz="4" w:space="0" w:color="auto"/>
                    <w:left w:val="single" w:sz="4" w:space="0" w:color="auto"/>
                    <w:bottom w:val="single" w:sz="4" w:space="0" w:color="auto"/>
                    <w:right w:val="single" w:sz="4" w:space="0" w:color="auto"/>
                  </w:tcBorders>
                </w:tcPr>
                <w:p w14:paraId="2C9179A4" w14:textId="77777777" w:rsidR="007B58CF" w:rsidRPr="00993885" w:rsidRDefault="007B58CF" w:rsidP="0024630D">
                  <w:pPr>
                    <w:spacing w:after="0"/>
                    <w:rPr>
                      <w:rFonts w:cs="Arial"/>
                      <w:sz w:val="16"/>
                      <w:szCs w:val="16"/>
                      <w:lang w:val="en-GB"/>
                    </w:rPr>
                  </w:pPr>
                  <w:r w:rsidRPr="00993885">
                    <w:rPr>
                      <w:rFonts w:cs="Arial"/>
                      <w:sz w:val="16"/>
                      <w:szCs w:val="16"/>
                      <w:lang w:val="en-GB"/>
                    </w:rPr>
                    <w:t xml:space="preserve">Mebendazole 100mg (Ovex®) tablet (x1) </w:t>
                  </w:r>
                  <w:r>
                    <w:rPr>
                      <w:rFonts w:cs="Arial"/>
                      <w:sz w:val="16"/>
                      <w:szCs w:val="16"/>
                      <w:lang w:val="en-GB"/>
                    </w:rPr>
                    <w:t>or x4</w:t>
                  </w:r>
                </w:p>
              </w:tc>
              <w:tc>
                <w:tcPr>
                  <w:tcW w:w="2826" w:type="dxa"/>
                  <w:tcBorders>
                    <w:top w:val="single" w:sz="4" w:space="0" w:color="auto"/>
                    <w:left w:val="single" w:sz="4" w:space="0" w:color="auto"/>
                    <w:bottom w:val="single" w:sz="4" w:space="0" w:color="auto"/>
                    <w:right w:val="single" w:sz="4" w:space="0" w:color="auto"/>
                  </w:tcBorders>
                </w:tcPr>
                <w:p w14:paraId="63F45407" w14:textId="77777777" w:rsidR="007B58CF" w:rsidRPr="00993885" w:rsidRDefault="007B58CF" w:rsidP="0024630D">
                  <w:pPr>
                    <w:spacing w:after="0"/>
                    <w:rPr>
                      <w:rFonts w:cs="Arial"/>
                      <w:sz w:val="16"/>
                      <w:szCs w:val="16"/>
                      <w:lang w:val="en-GB"/>
                    </w:rPr>
                  </w:pPr>
                  <w:r w:rsidRPr="00993885">
                    <w:rPr>
                      <w:rFonts w:cs="Arial"/>
                      <w:sz w:val="16"/>
                      <w:szCs w:val="16"/>
                      <w:lang w:val="en-GB"/>
                    </w:rPr>
                    <w:t xml:space="preserve">Terbinafine 1% </w:t>
                  </w:r>
                </w:p>
                <w:p w14:paraId="2F488D60" w14:textId="77777777" w:rsidR="007B58CF" w:rsidRPr="00CF0769" w:rsidRDefault="007B58CF" w:rsidP="0024630D">
                  <w:pPr>
                    <w:spacing w:after="0"/>
                    <w:rPr>
                      <w:rFonts w:cs="Arial"/>
                      <w:strike/>
                      <w:sz w:val="16"/>
                      <w:szCs w:val="16"/>
                      <w:lang w:val="en-GB"/>
                    </w:rPr>
                  </w:pPr>
                  <w:r w:rsidRPr="00993885">
                    <w:rPr>
                      <w:rFonts w:cs="Arial"/>
                      <w:sz w:val="16"/>
                      <w:szCs w:val="16"/>
                      <w:lang w:val="en-GB"/>
                    </w:rPr>
                    <w:t>(Lamisil AT®) cream (1x15g)</w:t>
                  </w:r>
                </w:p>
              </w:tc>
            </w:tr>
            <w:tr w:rsidR="007B58CF" w:rsidRPr="006C2E0E" w14:paraId="14AE770B" w14:textId="77777777" w:rsidTr="0024630D">
              <w:trPr>
                <w:trHeight w:val="402"/>
                <w:jc w:val="center"/>
              </w:trPr>
              <w:tc>
                <w:tcPr>
                  <w:tcW w:w="3109" w:type="dxa"/>
                  <w:tcBorders>
                    <w:top w:val="single" w:sz="4" w:space="0" w:color="auto"/>
                    <w:left w:val="single" w:sz="4" w:space="0" w:color="auto"/>
                    <w:bottom w:val="single" w:sz="4" w:space="0" w:color="auto"/>
                    <w:right w:val="single" w:sz="4" w:space="0" w:color="auto"/>
                  </w:tcBorders>
                </w:tcPr>
                <w:p w14:paraId="5FCB98C2" w14:textId="77777777" w:rsidR="007B58CF" w:rsidRPr="00993885" w:rsidRDefault="007B58CF" w:rsidP="0024630D">
                  <w:pPr>
                    <w:spacing w:after="0"/>
                    <w:rPr>
                      <w:rFonts w:cs="Arial"/>
                      <w:sz w:val="16"/>
                      <w:szCs w:val="16"/>
                      <w:lang w:val="en-GB"/>
                    </w:rPr>
                  </w:pPr>
                  <w:r>
                    <w:rPr>
                      <w:rFonts w:cs="Arial"/>
                      <w:sz w:val="16"/>
                      <w:szCs w:val="16"/>
                      <w:lang w:val="en-GB"/>
                    </w:rPr>
                    <w:t>Hydrogen peroxide cream 1% (</w:t>
                  </w:r>
                  <w:proofErr w:type="spellStart"/>
                  <w:r>
                    <w:rPr>
                      <w:rFonts w:cs="Arial"/>
                      <w:sz w:val="16"/>
                      <w:szCs w:val="16"/>
                      <w:lang w:val="en-GB"/>
                    </w:rPr>
                    <w:t>Crystacide</w:t>
                  </w:r>
                  <w:proofErr w:type="spellEnd"/>
                  <w:r>
                    <w:rPr>
                      <w:rFonts w:cs="Arial"/>
                      <w:sz w:val="16"/>
                      <w:szCs w:val="16"/>
                      <w:lang w:val="en-GB"/>
                    </w:rPr>
                    <w:t>®) 25g</w:t>
                  </w:r>
                </w:p>
              </w:tc>
              <w:tc>
                <w:tcPr>
                  <w:tcW w:w="3261" w:type="dxa"/>
                  <w:tcBorders>
                    <w:top w:val="single" w:sz="4" w:space="0" w:color="auto"/>
                    <w:left w:val="single" w:sz="4" w:space="0" w:color="auto"/>
                    <w:bottom w:val="single" w:sz="4" w:space="0" w:color="auto"/>
                    <w:right w:val="single" w:sz="4" w:space="0" w:color="auto"/>
                  </w:tcBorders>
                </w:tcPr>
                <w:p w14:paraId="20B02E35" w14:textId="77777777" w:rsidR="007B58CF" w:rsidRPr="00993885" w:rsidRDefault="007B58CF" w:rsidP="0024630D">
                  <w:pPr>
                    <w:spacing w:after="0"/>
                    <w:rPr>
                      <w:rFonts w:cs="Arial"/>
                      <w:sz w:val="16"/>
                      <w:szCs w:val="16"/>
                      <w:lang w:val="en-GB"/>
                    </w:rPr>
                  </w:pPr>
                  <w:r w:rsidRPr="00993885">
                    <w:rPr>
                      <w:rFonts w:cs="Arial"/>
                      <w:sz w:val="16"/>
                      <w:szCs w:val="16"/>
                      <w:lang w:val="en-GB"/>
                    </w:rPr>
                    <w:t>Mebendazole 100mg</w:t>
                  </w:r>
                  <w:r>
                    <w:rPr>
                      <w:rFonts w:cs="Arial"/>
                      <w:sz w:val="16"/>
                      <w:szCs w:val="16"/>
                      <w:lang w:val="en-GB"/>
                    </w:rPr>
                    <w:t xml:space="preserve">/5ml </w:t>
                  </w:r>
                  <w:r w:rsidRPr="00993885">
                    <w:rPr>
                      <w:rFonts w:cs="Arial"/>
                      <w:sz w:val="16"/>
                      <w:szCs w:val="16"/>
                      <w:lang w:val="en-GB"/>
                    </w:rPr>
                    <w:t xml:space="preserve"> </w:t>
                  </w:r>
                  <w:r>
                    <w:rPr>
                      <w:rFonts w:cs="Arial"/>
                      <w:sz w:val="16"/>
                      <w:szCs w:val="16"/>
                      <w:lang w:val="en-GB"/>
                    </w:rPr>
                    <w:t xml:space="preserve">suspension </w:t>
                  </w:r>
                  <w:r w:rsidRPr="00993885">
                    <w:rPr>
                      <w:rFonts w:cs="Arial"/>
                      <w:sz w:val="16"/>
                      <w:szCs w:val="16"/>
                      <w:lang w:val="en-GB"/>
                    </w:rPr>
                    <w:t xml:space="preserve">(Ovex®) </w:t>
                  </w:r>
                  <w:r>
                    <w:rPr>
                      <w:rFonts w:cs="Arial"/>
                      <w:sz w:val="16"/>
                      <w:szCs w:val="16"/>
                      <w:lang w:val="en-GB"/>
                    </w:rPr>
                    <w:t>(x30ml = 6 doses</w:t>
                  </w:r>
                  <w:r w:rsidRPr="00993885">
                    <w:rPr>
                      <w:rFonts w:cs="Arial"/>
                      <w:sz w:val="16"/>
                      <w:szCs w:val="16"/>
                      <w:lang w:val="en-GB"/>
                    </w:rPr>
                    <w:t>)</w:t>
                  </w:r>
                </w:p>
              </w:tc>
              <w:tc>
                <w:tcPr>
                  <w:tcW w:w="2826" w:type="dxa"/>
                  <w:tcBorders>
                    <w:top w:val="single" w:sz="4" w:space="0" w:color="auto"/>
                    <w:left w:val="single" w:sz="4" w:space="0" w:color="auto"/>
                    <w:bottom w:val="single" w:sz="4" w:space="0" w:color="auto"/>
                    <w:right w:val="single" w:sz="4" w:space="0" w:color="auto"/>
                  </w:tcBorders>
                </w:tcPr>
                <w:p w14:paraId="21E97807" w14:textId="77777777" w:rsidR="007B58CF" w:rsidRPr="00993885" w:rsidRDefault="007B58CF" w:rsidP="0024630D">
                  <w:pPr>
                    <w:spacing w:after="0"/>
                    <w:rPr>
                      <w:rFonts w:cs="Arial"/>
                      <w:sz w:val="16"/>
                      <w:szCs w:val="16"/>
                      <w:lang w:val="en-GB"/>
                    </w:rPr>
                  </w:pPr>
                </w:p>
              </w:tc>
            </w:tr>
          </w:tbl>
          <w:p w14:paraId="041993F4" w14:textId="77777777" w:rsidR="007B58CF" w:rsidRDefault="007B58CF" w:rsidP="007B58CF">
            <w:pPr>
              <w:pStyle w:val="ListParagraph"/>
            </w:pPr>
            <w:r>
              <w:t>*</w:t>
            </w:r>
            <w:r w:rsidRPr="00993C87">
              <w:rPr>
                <w:b/>
              </w:rPr>
              <w:t xml:space="preserve"> </w:t>
            </w:r>
            <w:r w:rsidRPr="00993885">
              <w:t>Formulary will be reviewed and updated annually.</w:t>
            </w:r>
            <w:r>
              <w:rPr>
                <w:b/>
              </w:rPr>
              <w:t xml:space="preserve"> </w:t>
            </w:r>
            <w:r>
              <w:t xml:space="preserve">For the current Pharmacy First Formulary, please refer to the </w:t>
            </w:r>
            <w:proofErr w:type="spellStart"/>
            <w:r w:rsidR="007D68FA">
              <w:t>PharmOutcomes</w:t>
            </w:r>
            <w:proofErr w:type="spellEnd"/>
            <w:r w:rsidR="007D68FA">
              <w:t>®</w:t>
            </w:r>
            <w:r>
              <w:t xml:space="preserve"> website. The list of medicines is regularly reviewed and may vary over the duration of the contract. Patients are free to purchase any other items themselves.</w:t>
            </w:r>
          </w:p>
          <w:p w14:paraId="644D9888" w14:textId="77777777" w:rsidR="007B58CF" w:rsidRDefault="007B58CF" w:rsidP="007B58CF">
            <w:pPr>
              <w:spacing w:after="0"/>
            </w:pPr>
          </w:p>
          <w:p w14:paraId="0FE18FA5" w14:textId="77777777" w:rsidR="001224CF" w:rsidRDefault="00DB7469" w:rsidP="001224CF">
            <w:pPr>
              <w:spacing w:after="0"/>
              <w:rPr>
                <w:rFonts w:cs="Arial"/>
                <w:b/>
              </w:rPr>
            </w:pPr>
            <w:r>
              <w:rPr>
                <w:rFonts w:cs="Arial"/>
                <w:b/>
              </w:rPr>
              <w:t>3.7</w:t>
            </w:r>
            <w:r w:rsidR="001224CF">
              <w:rPr>
                <w:rFonts w:cs="Arial"/>
                <w:b/>
              </w:rPr>
              <w:tab/>
              <w:t>Claiming Payment</w:t>
            </w:r>
          </w:p>
          <w:p w14:paraId="5B50788B" w14:textId="77777777" w:rsidR="001224CF" w:rsidRDefault="001224CF" w:rsidP="001224CF">
            <w:pPr>
              <w:spacing w:after="0"/>
              <w:rPr>
                <w:rFonts w:cs="Arial"/>
                <w:lang w:val="en-GB" w:eastAsia="en-US"/>
              </w:rPr>
            </w:pPr>
            <w:r>
              <w:rPr>
                <w:rFonts w:cs="Arial"/>
                <w:lang w:val="en-GB" w:eastAsia="en-US"/>
              </w:rPr>
              <w:t xml:space="preserve">Consultations need to be recorded on </w:t>
            </w:r>
            <w:proofErr w:type="spellStart"/>
            <w:r w:rsidR="007D68FA">
              <w:rPr>
                <w:rFonts w:cs="Arial"/>
                <w:lang w:val="en-GB" w:eastAsia="en-US"/>
              </w:rPr>
              <w:t>PharmOutcomes</w:t>
            </w:r>
            <w:proofErr w:type="spellEnd"/>
            <w:r w:rsidR="007D68FA">
              <w:rPr>
                <w:rFonts w:cs="Arial"/>
                <w:lang w:val="en-GB" w:eastAsia="en-US"/>
              </w:rPr>
              <w:t>®</w:t>
            </w:r>
            <w:r>
              <w:rPr>
                <w:rFonts w:cs="Arial"/>
                <w:lang w:val="en-GB" w:eastAsia="en-US"/>
              </w:rPr>
              <w:t xml:space="preserve"> at the time of the consultation for the details to be sent to the GP and for the pharmacy to claim payment. This may be completed by the pharmacist or a pharmacy technician/</w:t>
            </w:r>
            <w:r>
              <w:rPr>
                <w:rFonts w:cs="Arial"/>
              </w:rPr>
              <w:t>dispenser</w:t>
            </w:r>
            <w:r>
              <w:rPr>
                <w:rFonts w:cs="Arial"/>
                <w:lang w:val="en-GB" w:eastAsia="en-US"/>
              </w:rPr>
              <w:t xml:space="preserve">. The record on </w:t>
            </w:r>
            <w:proofErr w:type="spellStart"/>
            <w:r w:rsidR="007D68FA">
              <w:rPr>
                <w:rFonts w:cs="Arial"/>
                <w:lang w:val="en-GB" w:eastAsia="en-US"/>
              </w:rPr>
              <w:t>PharmOutcomes</w:t>
            </w:r>
            <w:proofErr w:type="spellEnd"/>
            <w:r w:rsidR="007D68FA">
              <w:rPr>
                <w:rFonts w:cs="Arial"/>
                <w:lang w:val="en-GB" w:eastAsia="en-US"/>
              </w:rPr>
              <w:t>®</w:t>
            </w:r>
            <w:r>
              <w:rPr>
                <w:rFonts w:cs="Arial"/>
                <w:lang w:val="en-GB" w:eastAsia="en-US"/>
              </w:rPr>
              <w:t xml:space="preserve"> will be the enduring record of the consultation.</w:t>
            </w:r>
          </w:p>
          <w:p w14:paraId="392D50E7" w14:textId="77777777" w:rsidR="001224CF" w:rsidRDefault="001224CF" w:rsidP="001224CF">
            <w:pPr>
              <w:spacing w:after="0"/>
              <w:rPr>
                <w:rFonts w:cs="Arial"/>
                <w:lang w:val="en-GB" w:eastAsia="en-US"/>
              </w:rPr>
            </w:pPr>
          </w:p>
          <w:p w14:paraId="1A8570AF" w14:textId="77777777" w:rsidR="007B58CF" w:rsidRPr="001B2A35" w:rsidRDefault="007B58CF" w:rsidP="007B58CF">
            <w:pPr>
              <w:spacing w:after="0"/>
              <w:jc w:val="left"/>
              <w:rPr>
                <w:lang w:val="en-GB" w:eastAsia="en-US"/>
              </w:rPr>
            </w:pPr>
            <w:r w:rsidRPr="0032499F">
              <w:rPr>
                <w:lang w:val="en-GB" w:eastAsia="en-US"/>
              </w:rPr>
              <w:t xml:space="preserve">For people who self-refer, or the GP refers, to the pharmacy for the treatment of a minor ailment, then in the first instance, the person is asked to purchase a medicine themselves OTC if appropriate. </w:t>
            </w:r>
            <w:r w:rsidRPr="001B2A35">
              <w:rPr>
                <w:lang w:val="en-GB" w:eastAsia="en-US"/>
              </w:rPr>
              <w:t>For people who genuinely are unable to pay for the recommended medicine, and who would otherwise attend a GP for a prescription, the IOW CCG will reimburse the cost of a medicine supplied from the Pharmacy First formulary.</w:t>
            </w:r>
            <w:r>
              <w:rPr>
                <w:lang w:val="en-GB" w:eastAsia="en-US"/>
              </w:rPr>
              <w:t xml:space="preserve"> </w:t>
            </w:r>
          </w:p>
          <w:p w14:paraId="0C4096FC" w14:textId="77777777" w:rsidR="007B58CF" w:rsidRPr="0032499F" w:rsidRDefault="007B58CF" w:rsidP="007B58CF">
            <w:pPr>
              <w:spacing w:after="0"/>
              <w:jc w:val="left"/>
              <w:rPr>
                <w:lang w:val="en-GB" w:eastAsia="en-US"/>
              </w:rPr>
            </w:pPr>
          </w:p>
          <w:p w14:paraId="24ECF7DF" w14:textId="77777777" w:rsidR="007B58CF" w:rsidRDefault="007B58CF" w:rsidP="007B58CF">
            <w:pPr>
              <w:spacing w:after="0"/>
              <w:jc w:val="left"/>
              <w:rPr>
                <w:lang w:val="en-GB" w:eastAsia="en-US"/>
              </w:rPr>
            </w:pPr>
            <w:r w:rsidRPr="0032499F">
              <w:rPr>
                <w:lang w:val="en-GB" w:eastAsia="en-US"/>
              </w:rPr>
              <w:t>A £4.50 consultation fee can be claimed from the IOW CCG for people who genuinely are unable to pay for the recommended medicine.</w:t>
            </w:r>
          </w:p>
          <w:p w14:paraId="31EDF3F0" w14:textId="77777777" w:rsidR="007B58CF" w:rsidRPr="0032499F" w:rsidRDefault="007B58CF" w:rsidP="007B58CF">
            <w:pPr>
              <w:spacing w:after="0"/>
              <w:jc w:val="left"/>
              <w:rPr>
                <w:lang w:val="en-GB" w:eastAsia="en-US"/>
              </w:rPr>
            </w:pPr>
          </w:p>
          <w:p w14:paraId="10B4146F" w14:textId="77777777" w:rsidR="007B58CF" w:rsidRPr="0032499F" w:rsidRDefault="007B58CF" w:rsidP="007B58CF">
            <w:pPr>
              <w:spacing w:after="0"/>
              <w:jc w:val="left"/>
              <w:rPr>
                <w:lang w:val="en-GB" w:eastAsia="en-US"/>
              </w:rPr>
            </w:pPr>
            <w:r w:rsidRPr="0032499F">
              <w:rPr>
                <w:lang w:val="en-GB" w:eastAsia="en-US"/>
              </w:rPr>
              <w:t xml:space="preserve">If the referral has come via 111 and the CPCS service, the pharmacy will already have received a payment of £14.00 and will be able to claim and additional </w:t>
            </w:r>
            <w:r>
              <w:rPr>
                <w:lang w:val="en-GB" w:eastAsia="en-US"/>
              </w:rPr>
              <w:t xml:space="preserve">£2.00 </w:t>
            </w:r>
            <w:r w:rsidRPr="0032499F">
              <w:rPr>
                <w:lang w:val="en-GB" w:eastAsia="en-US"/>
              </w:rPr>
              <w:t xml:space="preserve">consultation fee for Pharmacy First from the IOW CCG. </w:t>
            </w:r>
          </w:p>
          <w:p w14:paraId="67809C6C" w14:textId="77777777" w:rsidR="007B58CF" w:rsidRPr="0032499F" w:rsidRDefault="007B58CF" w:rsidP="007B58CF">
            <w:pPr>
              <w:spacing w:after="0"/>
              <w:jc w:val="left"/>
              <w:rPr>
                <w:lang w:val="en-GB" w:eastAsia="en-US"/>
              </w:rPr>
            </w:pPr>
          </w:p>
          <w:p w14:paraId="4BFDBA9E" w14:textId="77777777" w:rsidR="007B58CF" w:rsidRDefault="007B58CF" w:rsidP="007B58CF">
            <w:pPr>
              <w:spacing w:after="0"/>
              <w:jc w:val="left"/>
              <w:rPr>
                <w:lang w:val="en-GB" w:eastAsia="en-US"/>
              </w:rPr>
            </w:pPr>
            <w:r w:rsidRPr="000D0828">
              <w:rPr>
                <w:lang w:val="en-GB" w:eastAsia="en-US"/>
              </w:rPr>
              <w:t xml:space="preserve">There will be no payment for advice only, as this is business as usual for pharmacy staff, and part of the normal role. </w:t>
            </w:r>
          </w:p>
          <w:p w14:paraId="5FED2201" w14:textId="77777777" w:rsidR="00587602" w:rsidRDefault="00587602" w:rsidP="007B58CF">
            <w:pPr>
              <w:spacing w:after="0"/>
              <w:jc w:val="left"/>
              <w:rPr>
                <w:lang w:val="en-GB" w:eastAsia="en-US"/>
              </w:rPr>
            </w:pPr>
          </w:p>
          <w:p w14:paraId="273E5BB4" w14:textId="77777777" w:rsidR="001224CF" w:rsidRDefault="001224CF" w:rsidP="001224CF">
            <w:pPr>
              <w:rPr>
                <w:rFonts w:cs="Arial"/>
                <w:lang w:val="en-GB" w:eastAsia="en-US"/>
              </w:rPr>
            </w:pPr>
            <w:r>
              <w:rPr>
                <w:rFonts w:cs="Arial"/>
                <w:lang w:val="en-GB" w:eastAsia="en-US"/>
              </w:rPr>
              <w:lastRenderedPageBreak/>
              <w:t>If the patient pays for their prescriptions, any medicines supplied will be sold to the patient.</w:t>
            </w:r>
          </w:p>
          <w:p w14:paraId="1E50CBFA" w14:textId="77777777" w:rsidR="007B58CF" w:rsidRPr="00D85063" w:rsidRDefault="007B58CF" w:rsidP="007B58CF">
            <w:pPr>
              <w:rPr>
                <w:lang w:val="en-GB" w:eastAsia="en-US"/>
              </w:rPr>
            </w:pPr>
            <w:r w:rsidRPr="00CB01E5">
              <w:rPr>
                <w:lang w:val="en-GB" w:eastAsia="en-US"/>
              </w:rPr>
              <w:t>Payments will be made to</w:t>
            </w:r>
            <w:r w:rsidR="00587602">
              <w:rPr>
                <w:lang w:val="en-GB" w:eastAsia="en-US"/>
              </w:rPr>
              <w:t xml:space="preserve"> pharmacies </w:t>
            </w:r>
            <w:r w:rsidRPr="00CB01E5">
              <w:rPr>
                <w:lang w:val="en-GB" w:eastAsia="en-US"/>
              </w:rPr>
              <w:t>quarterly.</w:t>
            </w:r>
          </w:p>
          <w:p w14:paraId="1CAE0985" w14:textId="77777777" w:rsidR="007B58CF" w:rsidRDefault="00DB7469" w:rsidP="007B58CF">
            <w:pPr>
              <w:spacing w:after="0"/>
              <w:rPr>
                <w:rFonts w:cs="Arial"/>
                <w:b/>
              </w:rPr>
            </w:pPr>
            <w:r>
              <w:rPr>
                <w:rFonts w:cs="Arial"/>
                <w:b/>
              </w:rPr>
              <w:t>3.8</w:t>
            </w:r>
            <w:r w:rsidR="007B58CF">
              <w:rPr>
                <w:rFonts w:cs="Arial"/>
                <w:b/>
              </w:rPr>
              <w:t xml:space="preserve"> </w:t>
            </w:r>
            <w:r w:rsidR="007B58CF" w:rsidRPr="002C57C0">
              <w:rPr>
                <w:rFonts w:cs="Arial"/>
                <w:b/>
              </w:rPr>
              <w:t>Interdependence with other services/providers</w:t>
            </w:r>
          </w:p>
          <w:p w14:paraId="5BAFE2AB" w14:textId="77777777" w:rsidR="007B58CF" w:rsidRPr="00E403AC" w:rsidRDefault="007B58CF" w:rsidP="007B58CF">
            <w:pPr>
              <w:rPr>
                <w:rFonts w:cs="Arial"/>
                <w:lang w:val="en-GB"/>
              </w:rPr>
            </w:pPr>
            <w:r w:rsidRPr="00E403AC">
              <w:rPr>
                <w:rFonts w:cs="Arial"/>
                <w:lang w:val="en-GB"/>
              </w:rPr>
              <w:t>A record of the consu</w:t>
            </w:r>
            <w:r>
              <w:rPr>
                <w:rFonts w:cs="Arial"/>
                <w:lang w:val="en-GB"/>
              </w:rPr>
              <w:t xml:space="preserve">ltation should be made on </w:t>
            </w:r>
            <w:proofErr w:type="spellStart"/>
            <w:r w:rsidR="007D68FA">
              <w:rPr>
                <w:rFonts w:cs="Arial"/>
                <w:lang w:val="en-GB"/>
              </w:rPr>
              <w:t>PharmOutcomes</w:t>
            </w:r>
            <w:proofErr w:type="spellEnd"/>
            <w:r w:rsidR="007D68FA">
              <w:rPr>
                <w:rFonts w:cs="Arial"/>
                <w:lang w:val="en-GB"/>
              </w:rPr>
              <w:t>®</w:t>
            </w:r>
            <w:r w:rsidRPr="00E403AC">
              <w:rPr>
                <w:rFonts w:cs="Arial"/>
                <w:lang w:val="en-GB"/>
              </w:rPr>
              <w:t>, which will automatically email the patient’s GP practice to notify them of the consultation.</w:t>
            </w:r>
          </w:p>
          <w:p w14:paraId="0597B289" w14:textId="77777777" w:rsidR="007B58CF" w:rsidRPr="00A810D5" w:rsidRDefault="007B58CF" w:rsidP="00DB7469">
            <w:pPr>
              <w:spacing w:after="0"/>
              <w:rPr>
                <w:rFonts w:cs="Arial"/>
              </w:rPr>
            </w:pPr>
          </w:p>
        </w:tc>
      </w:tr>
      <w:tr w:rsidR="00172D8B" w:rsidRPr="00B5552C" w14:paraId="1B1D2223" w14:textId="77777777" w:rsidTr="007F18D8">
        <w:tc>
          <w:tcPr>
            <w:tcW w:w="5000" w:type="pct"/>
            <w:shd w:val="clear" w:color="auto" w:fill="auto"/>
          </w:tcPr>
          <w:p w14:paraId="14D71A6A" w14:textId="77777777" w:rsidR="00172D8B" w:rsidRPr="00A810D5" w:rsidRDefault="00172D8B" w:rsidP="004C2506">
            <w:pPr>
              <w:spacing w:after="0" w:line="276" w:lineRule="auto"/>
              <w:rPr>
                <w:rFonts w:cs="Arial"/>
                <w:b/>
              </w:rPr>
            </w:pPr>
            <w:r w:rsidRPr="00A810D5">
              <w:rPr>
                <w:rFonts w:cs="Arial"/>
                <w:b/>
              </w:rPr>
              <w:lastRenderedPageBreak/>
              <w:t>4.</w:t>
            </w:r>
            <w:r w:rsidRPr="00A810D5">
              <w:rPr>
                <w:rFonts w:cs="Arial"/>
                <w:b/>
              </w:rPr>
              <w:tab/>
              <w:t>Applicable Service Standards</w:t>
            </w:r>
          </w:p>
        </w:tc>
      </w:tr>
      <w:tr w:rsidR="00172D8B" w:rsidRPr="00512021" w14:paraId="565BA4CB" w14:textId="77777777" w:rsidTr="007F18D8">
        <w:tc>
          <w:tcPr>
            <w:tcW w:w="5000" w:type="pct"/>
            <w:shd w:val="clear" w:color="auto" w:fill="auto"/>
          </w:tcPr>
          <w:p w14:paraId="47B35315" w14:textId="77777777" w:rsidR="00172D8B" w:rsidRPr="00A810D5" w:rsidRDefault="00172D8B" w:rsidP="004C2506">
            <w:pPr>
              <w:spacing w:after="0"/>
              <w:rPr>
                <w:rFonts w:cs="Arial"/>
              </w:rPr>
            </w:pPr>
          </w:p>
          <w:p w14:paraId="45873993" w14:textId="77777777" w:rsidR="00172D8B" w:rsidRPr="00A810D5" w:rsidRDefault="00172D8B" w:rsidP="004C2506">
            <w:pPr>
              <w:spacing w:after="0"/>
              <w:rPr>
                <w:rFonts w:cs="Arial"/>
                <w:b/>
              </w:rPr>
            </w:pPr>
            <w:r w:rsidRPr="00A810D5">
              <w:rPr>
                <w:rFonts w:cs="Arial"/>
                <w:b/>
              </w:rPr>
              <w:t>4.1</w:t>
            </w:r>
            <w:r w:rsidRPr="00A810D5">
              <w:rPr>
                <w:rFonts w:cs="Arial"/>
                <w:b/>
              </w:rPr>
              <w:tab/>
              <w:t>Applicable national standards (e</w:t>
            </w:r>
            <w:r>
              <w:rPr>
                <w:rFonts w:cs="Arial"/>
                <w:b/>
              </w:rPr>
              <w:t>.</w:t>
            </w:r>
            <w:r w:rsidRPr="00A810D5">
              <w:rPr>
                <w:rFonts w:cs="Arial"/>
                <w:b/>
              </w:rPr>
              <w:t>g</w:t>
            </w:r>
            <w:r>
              <w:rPr>
                <w:rFonts w:cs="Arial"/>
                <w:b/>
              </w:rPr>
              <w:t>.</w:t>
            </w:r>
            <w:r w:rsidRPr="00A810D5">
              <w:rPr>
                <w:rFonts w:cs="Arial"/>
                <w:b/>
              </w:rPr>
              <w:t xml:space="preserve"> NICE)</w:t>
            </w:r>
          </w:p>
          <w:p w14:paraId="6FB89A49" w14:textId="77777777" w:rsidR="00172D8B" w:rsidRDefault="00172D8B" w:rsidP="004C2506">
            <w:pPr>
              <w:spacing w:after="0"/>
              <w:rPr>
                <w:rFonts w:cs="Arial"/>
              </w:rPr>
            </w:pPr>
            <w:r>
              <w:rPr>
                <w:rFonts w:cs="Arial"/>
              </w:rPr>
              <w:t>As applicable to the provision of community pharmacy services.</w:t>
            </w:r>
          </w:p>
          <w:p w14:paraId="1803D337" w14:textId="77777777" w:rsidR="0046770D" w:rsidRDefault="0046770D" w:rsidP="004C2506">
            <w:pPr>
              <w:spacing w:after="0"/>
              <w:rPr>
                <w:rFonts w:cs="Arial"/>
              </w:rPr>
            </w:pPr>
          </w:p>
          <w:p w14:paraId="65CA9FA6" w14:textId="77777777" w:rsidR="007B58CF" w:rsidRDefault="007B58CF" w:rsidP="007B58CF">
            <w:pPr>
              <w:spacing w:after="0"/>
              <w:ind w:left="743" w:hanging="743"/>
              <w:rPr>
                <w:rFonts w:cs="Arial"/>
                <w:b/>
              </w:rPr>
            </w:pPr>
            <w:r w:rsidRPr="00A810D5">
              <w:rPr>
                <w:rFonts w:cs="Arial"/>
                <w:b/>
              </w:rPr>
              <w:t>4.2</w:t>
            </w:r>
            <w:r w:rsidRPr="00A810D5">
              <w:rPr>
                <w:rFonts w:cs="Arial"/>
                <w:b/>
              </w:rPr>
              <w:tab/>
              <w:t>Applicable standards set out in Guidance and/or issued by a competent body (e</w:t>
            </w:r>
            <w:r>
              <w:rPr>
                <w:rFonts w:cs="Arial"/>
                <w:b/>
              </w:rPr>
              <w:t>.</w:t>
            </w:r>
            <w:r w:rsidRPr="00A810D5">
              <w:rPr>
                <w:rFonts w:cs="Arial"/>
                <w:b/>
              </w:rPr>
              <w:t>g</w:t>
            </w:r>
            <w:r>
              <w:rPr>
                <w:rFonts w:cs="Arial"/>
                <w:b/>
              </w:rPr>
              <w:t>.</w:t>
            </w:r>
            <w:r w:rsidRPr="00A810D5">
              <w:rPr>
                <w:rFonts w:cs="Arial"/>
                <w:b/>
              </w:rPr>
              <w:t xml:space="preserve"> Royal Colleges)</w:t>
            </w:r>
          </w:p>
          <w:p w14:paraId="295B85C3" w14:textId="77777777" w:rsidR="007B58CF" w:rsidRPr="00A810D5" w:rsidRDefault="007B58CF" w:rsidP="007B58CF">
            <w:pPr>
              <w:spacing w:after="0"/>
              <w:ind w:left="743" w:hanging="743"/>
              <w:rPr>
                <w:rFonts w:cs="Arial"/>
                <w:b/>
              </w:rPr>
            </w:pPr>
          </w:p>
          <w:p w14:paraId="3727573E" w14:textId="77777777" w:rsidR="007B58CF" w:rsidRPr="00FD04D0" w:rsidRDefault="00457909" w:rsidP="007B58CF">
            <w:pPr>
              <w:spacing w:after="0"/>
              <w:rPr>
                <w:rFonts w:cs="Arial"/>
                <w:b/>
              </w:rPr>
            </w:pPr>
            <w:r>
              <w:rPr>
                <w:b/>
                <w:lang w:val="en-GB" w:eastAsia="en-GB"/>
              </w:rPr>
              <w:t xml:space="preserve">Mandatory </w:t>
            </w:r>
            <w:r w:rsidR="007B58CF" w:rsidRPr="00FD04D0">
              <w:rPr>
                <w:rFonts w:cs="Arial"/>
                <w:b/>
              </w:rPr>
              <w:t>Centre for Pharmacy Postgraduate Education (CPPE) distance learning:</w:t>
            </w:r>
          </w:p>
          <w:p w14:paraId="7B4AB159" w14:textId="77777777" w:rsidR="007B58CF" w:rsidRPr="00FD04D0" w:rsidRDefault="007B58CF" w:rsidP="007B58CF">
            <w:pPr>
              <w:pStyle w:val="ListParagraph"/>
              <w:numPr>
                <w:ilvl w:val="0"/>
                <w:numId w:val="31"/>
              </w:numPr>
              <w:contextualSpacing w:val="0"/>
              <w:jc w:val="left"/>
            </w:pPr>
            <w:r w:rsidRPr="00FD04D0">
              <w:t>CPPE distance learning pack ‘Common clinical conditions and minor ailment: distance learning’ (8hrs)</w:t>
            </w:r>
          </w:p>
          <w:p w14:paraId="7B829CA3" w14:textId="77777777" w:rsidR="007B58CF" w:rsidRPr="00FD04D0" w:rsidRDefault="002C5263" w:rsidP="007B58CF">
            <w:pPr>
              <w:pStyle w:val="ListParagraph"/>
            </w:pPr>
            <w:hyperlink r:id="rId10" w:history="1">
              <w:r w:rsidR="007B58CF" w:rsidRPr="00FD04D0">
                <w:rPr>
                  <w:rStyle w:val="Hyperlink"/>
                </w:rPr>
                <w:t>https://www.cppe.ac.uk/programmes/l?t=RespMin-P-03&amp;evid=45133</w:t>
              </w:r>
            </w:hyperlink>
          </w:p>
          <w:p w14:paraId="5CC01C6A" w14:textId="77777777" w:rsidR="007B58CF" w:rsidRPr="00FD04D0" w:rsidRDefault="007B58CF" w:rsidP="007B58CF">
            <w:pPr>
              <w:spacing w:after="0"/>
              <w:ind w:firstLine="60"/>
              <w:rPr>
                <w:rFonts w:cs="Arial"/>
              </w:rPr>
            </w:pPr>
          </w:p>
          <w:p w14:paraId="510EEA72" w14:textId="77777777" w:rsidR="007B58CF" w:rsidRDefault="007B58CF" w:rsidP="007B58CF">
            <w:pPr>
              <w:pStyle w:val="ListParagraph"/>
              <w:numPr>
                <w:ilvl w:val="0"/>
                <w:numId w:val="31"/>
              </w:numPr>
              <w:contextualSpacing w:val="0"/>
              <w:jc w:val="left"/>
            </w:pPr>
            <w:r w:rsidRPr="00FD04D0">
              <w:t xml:space="preserve">CPPE learning assessment ‘Minor Ailments; a clinical approach (2020)  </w:t>
            </w:r>
            <w:hyperlink r:id="rId11" w:history="1">
              <w:r w:rsidRPr="00FD04D0">
                <w:rPr>
                  <w:rStyle w:val="Hyperlink"/>
                </w:rPr>
                <w:t>https://www.cppe.ac.uk/programmes/l/minor2-a-10</w:t>
              </w:r>
            </w:hyperlink>
          </w:p>
          <w:p w14:paraId="4444EC62" w14:textId="77777777" w:rsidR="007B58CF" w:rsidRDefault="007B58CF" w:rsidP="007B58CF">
            <w:pPr>
              <w:pStyle w:val="ListParagraph"/>
            </w:pPr>
          </w:p>
          <w:p w14:paraId="232D44B2" w14:textId="77777777" w:rsidR="007B58CF" w:rsidRPr="0006241F" w:rsidRDefault="007B58CF" w:rsidP="007B58CF">
            <w:pPr>
              <w:spacing w:after="0"/>
              <w:rPr>
                <w:rFonts w:cs="Arial"/>
                <w:b/>
              </w:rPr>
            </w:pPr>
            <w:r w:rsidRPr="0006241F">
              <w:rPr>
                <w:rFonts w:cs="Arial"/>
                <w:b/>
              </w:rPr>
              <w:t>CPPE Declaration of competence:</w:t>
            </w:r>
          </w:p>
          <w:p w14:paraId="1AB11305" w14:textId="77777777" w:rsidR="007B58CF" w:rsidRPr="00FD04D0" w:rsidRDefault="007B58CF" w:rsidP="007B58CF">
            <w:pPr>
              <w:pStyle w:val="ListParagraph"/>
              <w:numPr>
                <w:ilvl w:val="0"/>
                <w:numId w:val="31"/>
              </w:numPr>
              <w:contextualSpacing w:val="0"/>
              <w:jc w:val="left"/>
            </w:pPr>
            <w:r w:rsidRPr="00FD04D0">
              <w:t>Minor ailments – this includes Consultation skills, Common Clinical Conditions and Minor Ailments</w:t>
            </w:r>
          </w:p>
          <w:p w14:paraId="16335CB1" w14:textId="77777777" w:rsidR="007B58CF" w:rsidRDefault="002C5263" w:rsidP="007B58CF">
            <w:pPr>
              <w:pStyle w:val="ListParagraph"/>
              <w:ind w:left="720"/>
              <w:contextualSpacing w:val="0"/>
              <w:jc w:val="left"/>
            </w:pPr>
            <w:hyperlink r:id="rId12" w:anchor="navTop" w:history="1">
              <w:r w:rsidR="007B58CF" w:rsidRPr="005B71DD">
                <w:rPr>
                  <w:rStyle w:val="Hyperlink"/>
                </w:rPr>
                <w:t>https://www.cppe.ac.uk/services/declaration-of-competence#navTop</w:t>
              </w:r>
            </w:hyperlink>
          </w:p>
          <w:p w14:paraId="4B77BCC7" w14:textId="77777777" w:rsidR="0046770D" w:rsidRDefault="0046770D" w:rsidP="004C2506">
            <w:pPr>
              <w:spacing w:after="0"/>
              <w:rPr>
                <w:rFonts w:cs="Arial"/>
              </w:rPr>
            </w:pPr>
          </w:p>
          <w:p w14:paraId="4B920D43" w14:textId="77777777" w:rsidR="007B58CF" w:rsidRPr="00874B98" w:rsidRDefault="007B58CF" w:rsidP="007B58CF">
            <w:pPr>
              <w:spacing w:after="0"/>
              <w:rPr>
                <w:rFonts w:cs="Arial"/>
                <w:b/>
              </w:rPr>
            </w:pPr>
            <w:r w:rsidRPr="00874B98">
              <w:rPr>
                <w:rFonts w:cs="Arial"/>
                <w:b/>
              </w:rPr>
              <w:t>4.3</w:t>
            </w:r>
            <w:r w:rsidRPr="00874B98">
              <w:rPr>
                <w:rFonts w:cs="Arial"/>
                <w:b/>
              </w:rPr>
              <w:tab/>
              <w:t>Applicable local standards</w:t>
            </w:r>
          </w:p>
          <w:p w14:paraId="3D139D8E" w14:textId="77777777" w:rsidR="00587602" w:rsidRPr="00874B98" w:rsidRDefault="00587602" w:rsidP="007B58CF">
            <w:pPr>
              <w:spacing w:after="0"/>
              <w:rPr>
                <w:rFonts w:cs="Arial"/>
                <w:b/>
              </w:rPr>
            </w:pPr>
          </w:p>
          <w:p w14:paraId="34901EBD" w14:textId="77777777" w:rsidR="00587602" w:rsidRDefault="00587602" w:rsidP="00E32CAB">
            <w:pPr>
              <w:rPr>
                <w:lang w:val="en-GB" w:eastAsia="en-US"/>
              </w:rPr>
            </w:pPr>
            <w:r w:rsidRPr="00874B98">
              <w:rPr>
                <w:lang w:val="en-GB" w:eastAsia="en-US"/>
              </w:rPr>
              <w:t xml:space="preserve">Pharmacists are required to make sure that they have read, understood and comply with the service </w:t>
            </w:r>
            <w:r w:rsidR="00874B98" w:rsidRPr="00874B98">
              <w:rPr>
                <w:lang w:val="en-GB" w:eastAsia="en-US"/>
              </w:rPr>
              <w:t>specification</w:t>
            </w:r>
            <w:r w:rsidRPr="00874B98">
              <w:rPr>
                <w:lang w:val="en-GB" w:eastAsia="en-US"/>
              </w:rPr>
              <w:t xml:space="preserve">. </w:t>
            </w:r>
          </w:p>
          <w:p w14:paraId="17F7FD72" w14:textId="77777777" w:rsidR="00624AAF" w:rsidRDefault="00624AAF" w:rsidP="00624AAF">
            <w:pPr>
              <w:rPr>
                <w:rFonts w:cs="Arial"/>
                <w:lang w:val="en-GB" w:eastAsia="en-US"/>
              </w:rPr>
            </w:pPr>
            <w:r>
              <w:rPr>
                <w:rFonts w:cs="Arial"/>
                <w:lang w:val="en-GB" w:eastAsia="en-US"/>
              </w:rPr>
              <w:t xml:space="preserve">The Pharmacist must complete electronic declaration (enrolment) via </w:t>
            </w:r>
            <w:proofErr w:type="spellStart"/>
            <w:r>
              <w:rPr>
                <w:rFonts w:cs="Arial"/>
                <w:lang w:val="en-GB" w:eastAsia="en-US"/>
              </w:rPr>
              <w:t>PharmOutcomes</w:t>
            </w:r>
            <w:proofErr w:type="spellEnd"/>
            <w:r>
              <w:rPr>
                <w:rFonts w:cs="Arial"/>
                <w:lang w:val="en-GB" w:eastAsia="en-US"/>
              </w:rPr>
              <w:t>, by clicking on the Pharmacy First tab.</w:t>
            </w:r>
          </w:p>
          <w:p w14:paraId="1FC2CE84" w14:textId="77777777" w:rsidR="00587602" w:rsidRDefault="00587602" w:rsidP="00587602">
            <w:pPr>
              <w:spacing w:after="0"/>
              <w:contextualSpacing/>
              <w:outlineLvl w:val="2"/>
              <w:rPr>
                <w:rFonts w:eastAsia="Calibri" w:cs="Arial"/>
                <w:lang w:val="en-GB" w:eastAsia="en-US"/>
              </w:rPr>
            </w:pPr>
            <w:r w:rsidRPr="00874B98">
              <w:rPr>
                <w:rFonts w:eastAsia="Calibri" w:cs="Arial"/>
                <w:lang w:val="en-GB" w:eastAsia="en-US"/>
              </w:rPr>
              <w:t xml:space="preserve">The pharmacy </w:t>
            </w:r>
            <w:r w:rsidR="005A2329" w:rsidRPr="00874B98">
              <w:rPr>
                <w:rFonts w:eastAsia="Calibri" w:cs="Arial"/>
                <w:lang w:val="en-GB" w:eastAsia="en-US"/>
              </w:rPr>
              <w:t>contract holder must satisfy themselves</w:t>
            </w:r>
            <w:r w:rsidRPr="00874B98">
              <w:rPr>
                <w:rFonts w:eastAsia="Calibri" w:cs="Arial"/>
                <w:lang w:val="en-GB" w:eastAsia="en-US"/>
              </w:rPr>
              <w:t xml:space="preserve"> that </w:t>
            </w:r>
            <w:r w:rsidR="005A2329" w:rsidRPr="00874B98">
              <w:rPr>
                <w:rFonts w:eastAsia="Calibri" w:cs="Arial"/>
                <w:lang w:val="en-GB" w:eastAsia="en-US"/>
              </w:rPr>
              <w:t xml:space="preserve">any </w:t>
            </w:r>
            <w:r w:rsidR="00874B98" w:rsidRPr="00874B98">
              <w:rPr>
                <w:rFonts w:eastAsia="Calibri" w:cs="Arial"/>
                <w:lang w:val="en-GB" w:eastAsia="en-US"/>
              </w:rPr>
              <w:t>staff involved in the provision of the service has</w:t>
            </w:r>
            <w:r w:rsidRPr="00874B98">
              <w:rPr>
                <w:rFonts w:eastAsia="Calibri" w:cs="Arial"/>
                <w:lang w:val="en-GB" w:eastAsia="en-US"/>
              </w:rPr>
              <w:t xml:space="preserve"> undertaken continuing professional development (CPD) relevant to the service.</w:t>
            </w:r>
          </w:p>
          <w:p w14:paraId="0F79581A" w14:textId="77777777" w:rsidR="00587602" w:rsidRDefault="00587602" w:rsidP="007B58CF">
            <w:pPr>
              <w:spacing w:after="0"/>
              <w:rPr>
                <w:rFonts w:cs="Arial"/>
                <w:b/>
              </w:rPr>
            </w:pPr>
          </w:p>
          <w:p w14:paraId="3D358F20" w14:textId="77777777" w:rsidR="00457909" w:rsidRPr="00A810D5" w:rsidRDefault="00457909" w:rsidP="007B58CF">
            <w:pPr>
              <w:spacing w:after="0"/>
              <w:rPr>
                <w:rFonts w:cs="Arial"/>
                <w:b/>
              </w:rPr>
            </w:pPr>
            <w:r>
              <w:rPr>
                <w:rFonts w:eastAsia="Times New Roman" w:cs="Arial"/>
                <w:lang w:val="en-GB" w:eastAsia="en-GB"/>
              </w:rPr>
              <w:t>There will be a 3 months grace period after registration to complete this or access/claiming will be denied.</w:t>
            </w:r>
          </w:p>
          <w:p w14:paraId="4AC08282" w14:textId="77777777" w:rsidR="00172D8B" w:rsidRPr="00A810D5" w:rsidRDefault="00172D8B" w:rsidP="007B58CF">
            <w:pPr>
              <w:pStyle w:val="ListParagraph"/>
              <w:ind w:left="1440"/>
            </w:pPr>
          </w:p>
        </w:tc>
      </w:tr>
      <w:tr w:rsidR="00172D8B" w:rsidRPr="00B5552C" w14:paraId="3ACA6284" w14:textId="77777777" w:rsidTr="007F18D8">
        <w:tc>
          <w:tcPr>
            <w:tcW w:w="5000" w:type="pct"/>
            <w:shd w:val="clear" w:color="auto" w:fill="auto"/>
          </w:tcPr>
          <w:p w14:paraId="14CDEB59" w14:textId="77777777" w:rsidR="00172D8B" w:rsidRPr="00A810D5" w:rsidRDefault="00172D8B" w:rsidP="004C2506">
            <w:pPr>
              <w:spacing w:after="0" w:line="276" w:lineRule="auto"/>
              <w:rPr>
                <w:rFonts w:cs="Arial"/>
                <w:b/>
              </w:rPr>
            </w:pPr>
            <w:r w:rsidRPr="00A810D5">
              <w:rPr>
                <w:rFonts w:cs="Arial"/>
                <w:b/>
              </w:rPr>
              <w:t>5.</w:t>
            </w:r>
            <w:r w:rsidRPr="00A810D5">
              <w:rPr>
                <w:rFonts w:cs="Arial"/>
                <w:b/>
              </w:rPr>
              <w:tab/>
              <w:t>Applicable quality requirements and CQUIN goals</w:t>
            </w:r>
          </w:p>
        </w:tc>
      </w:tr>
      <w:tr w:rsidR="00172D8B" w:rsidRPr="00512021" w14:paraId="0F6941A1" w14:textId="77777777" w:rsidTr="007F18D8">
        <w:tc>
          <w:tcPr>
            <w:tcW w:w="5000" w:type="pct"/>
            <w:shd w:val="clear" w:color="auto" w:fill="auto"/>
          </w:tcPr>
          <w:p w14:paraId="013229BD" w14:textId="77777777" w:rsidR="00172D8B" w:rsidRPr="00A810D5" w:rsidRDefault="00172D8B" w:rsidP="004C2506">
            <w:pPr>
              <w:spacing w:after="0"/>
              <w:rPr>
                <w:rFonts w:cs="Arial"/>
              </w:rPr>
            </w:pPr>
          </w:p>
          <w:p w14:paraId="7C77EB95" w14:textId="77777777" w:rsidR="007B58CF" w:rsidRDefault="007B58CF" w:rsidP="007B58CF">
            <w:pPr>
              <w:pStyle w:val="ListParagraph"/>
              <w:numPr>
                <w:ilvl w:val="1"/>
                <w:numId w:val="32"/>
              </w:numPr>
              <w:contextualSpacing w:val="0"/>
              <w:jc w:val="left"/>
              <w:rPr>
                <w:b/>
              </w:rPr>
            </w:pPr>
            <w:r w:rsidRPr="00877E25">
              <w:rPr>
                <w:b/>
              </w:rPr>
              <w:t xml:space="preserve">Applicable Quality Requirements </w:t>
            </w:r>
            <w:r w:rsidRPr="00187363">
              <w:rPr>
                <w:b/>
              </w:rPr>
              <w:t>(See Schedule 4A-C)</w:t>
            </w:r>
          </w:p>
          <w:p w14:paraId="1F95AE9D" w14:textId="77777777" w:rsidR="00D2418C" w:rsidRDefault="00D2418C" w:rsidP="00D2418C">
            <w:pPr>
              <w:pStyle w:val="ListParagraph"/>
              <w:ind w:left="360"/>
              <w:contextualSpacing w:val="0"/>
              <w:jc w:val="left"/>
              <w:rPr>
                <w:b/>
              </w:rPr>
            </w:pPr>
          </w:p>
          <w:p w14:paraId="4C58893D" w14:textId="77777777" w:rsidR="007B58CF" w:rsidRDefault="007B58CF" w:rsidP="007B58CF">
            <w:pPr>
              <w:spacing w:after="0"/>
              <w:outlineLvl w:val="2"/>
              <w:rPr>
                <w:rFonts w:eastAsia="Times New Roman" w:cs="Arial"/>
                <w:lang w:val="en-GB" w:eastAsia="en-GB"/>
              </w:rPr>
            </w:pPr>
            <w:r>
              <w:rPr>
                <w:rFonts w:eastAsia="Times New Roman" w:cs="Arial"/>
                <w:lang w:val="en-GB" w:eastAsia="en-GB"/>
              </w:rPr>
              <w:t xml:space="preserve">The pharmacists involved in the provision of the service complete the online declaration of competence via </w:t>
            </w:r>
            <w:proofErr w:type="spellStart"/>
            <w:r w:rsidR="007D68FA">
              <w:rPr>
                <w:rFonts w:eastAsia="Times New Roman" w:cs="Arial"/>
                <w:lang w:val="en-GB" w:eastAsia="en-GB"/>
              </w:rPr>
              <w:t>PharmOutcomes</w:t>
            </w:r>
            <w:proofErr w:type="spellEnd"/>
            <w:r w:rsidR="007D68FA">
              <w:rPr>
                <w:rFonts w:eastAsia="Times New Roman" w:cs="Arial"/>
                <w:lang w:val="en-GB" w:eastAsia="en-GB"/>
              </w:rPr>
              <w:t>®</w:t>
            </w:r>
            <w:r>
              <w:rPr>
                <w:rFonts w:eastAsia="Times New Roman" w:cs="Arial"/>
                <w:lang w:val="en-GB" w:eastAsia="en-GB"/>
              </w:rPr>
              <w:t xml:space="preserve"> that they have undertaken continuing professional development (CPD) relevant to the service.</w:t>
            </w:r>
          </w:p>
          <w:p w14:paraId="7B95B895" w14:textId="77777777" w:rsidR="00D2418C" w:rsidRDefault="00D2418C" w:rsidP="007B58CF">
            <w:pPr>
              <w:spacing w:after="0"/>
              <w:outlineLvl w:val="2"/>
              <w:rPr>
                <w:rFonts w:eastAsia="Times New Roman" w:cs="Arial"/>
                <w:lang w:val="en-GB" w:eastAsia="en-GB"/>
              </w:rPr>
            </w:pPr>
          </w:p>
          <w:p w14:paraId="39D71AA6" w14:textId="77777777" w:rsidR="00D2418C" w:rsidRDefault="00D2418C" w:rsidP="00D2418C">
            <w:pPr>
              <w:rPr>
                <w:rFonts w:cs="Arial"/>
              </w:rPr>
            </w:pPr>
            <w:r>
              <w:rPr>
                <w:rFonts w:cs="Arial"/>
              </w:rPr>
              <w:t xml:space="preserve">The pharmacist is responsible for keeping themselves aware of any changes to the recommendations for the medicine listed. </w:t>
            </w:r>
          </w:p>
          <w:p w14:paraId="0C262926" w14:textId="77777777" w:rsidR="00D2418C" w:rsidRDefault="00D2418C" w:rsidP="00D2418C">
            <w:pPr>
              <w:rPr>
                <w:rFonts w:cs="Arial"/>
              </w:rPr>
            </w:pPr>
            <w:r>
              <w:rPr>
                <w:rFonts w:cs="Arial"/>
              </w:rPr>
              <w:t xml:space="preserve">It is the responsibility of the individual to keep up-to-date with continued professional development and to </w:t>
            </w:r>
            <w:r>
              <w:rPr>
                <w:rFonts w:cs="Arial"/>
              </w:rPr>
              <w:lastRenderedPageBreak/>
              <w:t>work within the limitations of their own individual scope of practice.</w:t>
            </w:r>
          </w:p>
          <w:p w14:paraId="2F055E4A" w14:textId="77777777" w:rsidR="00D2418C" w:rsidRPr="00DE390E" w:rsidRDefault="00D2418C" w:rsidP="00D2418C">
            <w:pPr>
              <w:rPr>
                <w:rFonts w:cs="Arial"/>
              </w:rPr>
            </w:pPr>
            <w:r>
              <w:rPr>
                <w:rFonts w:cs="Arial"/>
              </w:rPr>
              <w:t>The pharmacist is required to complete the required training and competency declaration every time a new contract is signed as this may change slightly in line with current evidence.</w:t>
            </w:r>
            <w:r w:rsidRPr="00DE390E">
              <w:rPr>
                <w:rFonts w:cs="Arial"/>
              </w:rPr>
              <w:t xml:space="preserve"> </w:t>
            </w:r>
          </w:p>
          <w:p w14:paraId="7BFEFB4B" w14:textId="77777777" w:rsidR="00D2418C" w:rsidRDefault="00D2418C" w:rsidP="007B58CF">
            <w:pPr>
              <w:spacing w:after="0"/>
              <w:outlineLvl w:val="2"/>
              <w:rPr>
                <w:rFonts w:eastAsia="Times New Roman" w:cs="Arial"/>
                <w:lang w:val="en-GB" w:eastAsia="en-GB"/>
              </w:rPr>
            </w:pPr>
          </w:p>
          <w:p w14:paraId="7FFB7835" w14:textId="77777777" w:rsidR="00172D8B" w:rsidRPr="004A4D6A" w:rsidRDefault="00172D8B" w:rsidP="00172D8B">
            <w:pPr>
              <w:pStyle w:val="ListParagraph"/>
              <w:numPr>
                <w:ilvl w:val="1"/>
                <w:numId w:val="25"/>
              </w:numPr>
              <w:contextualSpacing w:val="0"/>
              <w:jc w:val="left"/>
              <w:rPr>
                <w:b/>
              </w:rPr>
            </w:pPr>
            <w:r w:rsidRPr="004A4D6A">
              <w:rPr>
                <w:b/>
              </w:rPr>
              <w:t xml:space="preserve">Applicable CQUIN goals </w:t>
            </w:r>
            <w:r w:rsidR="004C0F47" w:rsidRPr="00B95C54">
              <w:rPr>
                <w:b/>
              </w:rPr>
              <w:t xml:space="preserve"> (See Schedule 4D)</w:t>
            </w:r>
          </w:p>
          <w:p w14:paraId="6D3F9525" w14:textId="77777777" w:rsidR="00172D8B" w:rsidRPr="00A810D5" w:rsidRDefault="00172D8B" w:rsidP="004C2506">
            <w:pPr>
              <w:spacing w:after="0"/>
              <w:rPr>
                <w:rFonts w:cs="Arial"/>
              </w:rPr>
            </w:pPr>
            <w:r>
              <w:rPr>
                <w:rFonts w:cs="Arial"/>
              </w:rPr>
              <w:t>Reserved as not applicable under terms of the contract</w:t>
            </w:r>
          </w:p>
          <w:p w14:paraId="3B498B14" w14:textId="77777777" w:rsidR="00172D8B" w:rsidRPr="00A810D5" w:rsidRDefault="00172D8B" w:rsidP="004C2506">
            <w:pPr>
              <w:spacing w:after="0"/>
              <w:rPr>
                <w:rFonts w:cs="Arial"/>
              </w:rPr>
            </w:pPr>
          </w:p>
        </w:tc>
      </w:tr>
      <w:tr w:rsidR="00172D8B" w:rsidRPr="00B5552C" w14:paraId="3E3791E0" w14:textId="77777777" w:rsidTr="007F18D8">
        <w:tc>
          <w:tcPr>
            <w:tcW w:w="5000" w:type="pct"/>
            <w:shd w:val="clear" w:color="auto" w:fill="auto"/>
          </w:tcPr>
          <w:p w14:paraId="54077C47" w14:textId="77777777" w:rsidR="00172D8B" w:rsidRPr="00A810D5" w:rsidRDefault="00172D8B" w:rsidP="004C2506">
            <w:pPr>
              <w:spacing w:after="0" w:line="276" w:lineRule="auto"/>
              <w:rPr>
                <w:rFonts w:cs="Arial"/>
                <w:b/>
              </w:rPr>
            </w:pPr>
            <w:r w:rsidRPr="00A810D5">
              <w:rPr>
                <w:rFonts w:cs="Arial"/>
                <w:b/>
              </w:rPr>
              <w:lastRenderedPageBreak/>
              <w:t>6.</w:t>
            </w:r>
            <w:r w:rsidRPr="00A810D5">
              <w:rPr>
                <w:rFonts w:cs="Arial"/>
                <w:b/>
              </w:rPr>
              <w:tab/>
              <w:t>Location of Provider Premises</w:t>
            </w:r>
          </w:p>
        </w:tc>
      </w:tr>
      <w:tr w:rsidR="00172D8B" w:rsidRPr="00512021" w14:paraId="20ACF420" w14:textId="77777777" w:rsidTr="007F18D8">
        <w:tc>
          <w:tcPr>
            <w:tcW w:w="5000" w:type="pct"/>
            <w:shd w:val="clear" w:color="auto" w:fill="auto"/>
          </w:tcPr>
          <w:p w14:paraId="74E40F4B" w14:textId="77777777" w:rsidR="00172D8B" w:rsidRPr="00A810D5" w:rsidRDefault="00172D8B" w:rsidP="004C2506">
            <w:pPr>
              <w:spacing w:after="0"/>
              <w:rPr>
                <w:rFonts w:cs="Arial"/>
              </w:rPr>
            </w:pPr>
          </w:p>
          <w:p w14:paraId="6C2BB70A" w14:textId="77777777" w:rsidR="00AB67C3" w:rsidRDefault="00AB67C3" w:rsidP="004C2506">
            <w:pPr>
              <w:spacing w:after="0"/>
              <w:rPr>
                <w:rFonts w:cs="Arial"/>
                <w:b/>
              </w:rPr>
            </w:pPr>
            <w:r>
              <w:rPr>
                <w:rFonts w:cs="Arial"/>
                <w:b/>
              </w:rPr>
              <w:t xml:space="preserve">The Provider’s Premises to </w:t>
            </w:r>
            <w:r w:rsidRPr="00AB67C3">
              <w:rPr>
                <w:rFonts w:cs="Arial"/>
                <w:b/>
              </w:rPr>
              <w:t>confirm inclusion:</w:t>
            </w:r>
          </w:p>
          <w:p w14:paraId="6419F224" w14:textId="77777777" w:rsidR="00172D8B" w:rsidRPr="00AB67C3" w:rsidRDefault="00172D8B" w:rsidP="004C2506">
            <w:pPr>
              <w:spacing w:after="0"/>
              <w:rPr>
                <w:rFonts w:cs="Arial"/>
              </w:rPr>
            </w:pPr>
            <w:r w:rsidRPr="00AB67C3">
              <w:rPr>
                <w:rFonts w:cs="Arial"/>
                <w:b/>
              </w:rPr>
              <w:t xml:space="preserve">(please </w:t>
            </w:r>
            <w:r w:rsidR="00AB67C3">
              <w:rPr>
                <w:rFonts w:cs="Arial"/>
                <w:b/>
              </w:rPr>
              <w:t xml:space="preserve">list each site if a multiple pharmacy chain) </w:t>
            </w:r>
          </w:p>
          <w:p w14:paraId="526B447D" w14:textId="77777777" w:rsidR="00172D8B" w:rsidRDefault="00172D8B" w:rsidP="004C2506">
            <w:pPr>
              <w:spacing w:after="0"/>
              <w:rPr>
                <w:rFonts w:cs="Arial"/>
                <w:b/>
                <w:highlight w:val="green"/>
              </w:rPr>
            </w:pPr>
          </w:p>
          <w:tbl>
            <w:tblPr>
              <w:tblW w:w="8188" w:type="dxa"/>
              <w:tblLook w:val="04A0" w:firstRow="1" w:lastRow="0" w:firstColumn="1" w:lastColumn="0" w:noHBand="0" w:noVBand="1"/>
            </w:tblPr>
            <w:tblGrid>
              <w:gridCol w:w="2720"/>
              <w:gridCol w:w="5468"/>
            </w:tblGrid>
            <w:tr w:rsidR="00172D8B" w:rsidRPr="00D47B57" w14:paraId="25A0EAE3" w14:textId="77777777" w:rsidTr="004C2506">
              <w:trPr>
                <w:trHeight w:val="576"/>
              </w:trPr>
              <w:tc>
                <w:tcPr>
                  <w:tcW w:w="2720" w:type="dxa"/>
                  <w:tcBorders>
                    <w:top w:val="single" w:sz="4" w:space="0" w:color="auto"/>
                    <w:left w:val="single" w:sz="4" w:space="0" w:color="auto"/>
                    <w:bottom w:val="single" w:sz="4" w:space="0" w:color="auto"/>
                    <w:right w:val="single" w:sz="4" w:space="0" w:color="auto"/>
                  </w:tcBorders>
                  <w:shd w:val="clear" w:color="auto" w:fill="auto"/>
                  <w:noWrap/>
                </w:tcPr>
                <w:p w14:paraId="782F6173" w14:textId="77777777" w:rsidR="00172D8B" w:rsidRPr="00D47B57" w:rsidRDefault="00172D8B" w:rsidP="004C2506">
                  <w:pPr>
                    <w:spacing w:after="0"/>
                    <w:rPr>
                      <w:rFonts w:ascii="Calibri" w:eastAsia="Times New Roman" w:hAnsi="Calibri" w:cs="Times New Roman"/>
                      <w:color w:val="000000"/>
                      <w:sz w:val="22"/>
                      <w:szCs w:val="22"/>
                      <w:highlight w:val="green"/>
                      <w:lang w:val="en-GB" w:eastAsia="en-GB"/>
                    </w:rPr>
                  </w:pPr>
                </w:p>
              </w:tc>
              <w:tc>
                <w:tcPr>
                  <w:tcW w:w="5468" w:type="dxa"/>
                  <w:tcBorders>
                    <w:top w:val="single" w:sz="4" w:space="0" w:color="auto"/>
                    <w:left w:val="nil"/>
                    <w:bottom w:val="single" w:sz="4" w:space="0" w:color="auto"/>
                    <w:right w:val="single" w:sz="4" w:space="0" w:color="auto"/>
                  </w:tcBorders>
                  <w:shd w:val="clear" w:color="auto" w:fill="auto"/>
                </w:tcPr>
                <w:p w14:paraId="4CBA6426" w14:textId="77777777" w:rsidR="00172D8B" w:rsidRPr="00D47B57" w:rsidRDefault="00172D8B" w:rsidP="004C2506">
                  <w:pPr>
                    <w:spacing w:after="0"/>
                    <w:rPr>
                      <w:rFonts w:ascii="Calibri" w:eastAsia="Times New Roman" w:hAnsi="Calibri" w:cs="Times New Roman"/>
                      <w:color w:val="000000"/>
                      <w:sz w:val="22"/>
                      <w:szCs w:val="22"/>
                      <w:highlight w:val="green"/>
                      <w:lang w:val="en-GB" w:eastAsia="en-GB"/>
                    </w:rPr>
                  </w:pPr>
                </w:p>
              </w:tc>
            </w:tr>
            <w:tr w:rsidR="00172D8B" w:rsidRPr="00D47B57" w14:paraId="40C0803D" w14:textId="77777777" w:rsidTr="004C2506">
              <w:trPr>
                <w:trHeight w:val="576"/>
              </w:trPr>
              <w:tc>
                <w:tcPr>
                  <w:tcW w:w="2720" w:type="dxa"/>
                  <w:tcBorders>
                    <w:top w:val="nil"/>
                    <w:left w:val="single" w:sz="4" w:space="0" w:color="auto"/>
                    <w:bottom w:val="single" w:sz="4" w:space="0" w:color="auto"/>
                    <w:right w:val="single" w:sz="4" w:space="0" w:color="auto"/>
                  </w:tcBorders>
                  <w:shd w:val="clear" w:color="auto" w:fill="auto"/>
                  <w:noWrap/>
                </w:tcPr>
                <w:p w14:paraId="295FBB37" w14:textId="77777777" w:rsidR="00172D8B" w:rsidRPr="00D47B57" w:rsidRDefault="00172D8B" w:rsidP="004C2506">
                  <w:pPr>
                    <w:spacing w:after="0"/>
                    <w:rPr>
                      <w:rFonts w:ascii="Calibri" w:eastAsia="Times New Roman" w:hAnsi="Calibri" w:cs="Times New Roman"/>
                      <w:color w:val="000000"/>
                      <w:sz w:val="22"/>
                      <w:szCs w:val="22"/>
                      <w:highlight w:val="green"/>
                      <w:lang w:val="en-GB" w:eastAsia="en-GB"/>
                    </w:rPr>
                  </w:pPr>
                </w:p>
              </w:tc>
              <w:tc>
                <w:tcPr>
                  <w:tcW w:w="5468" w:type="dxa"/>
                  <w:tcBorders>
                    <w:top w:val="nil"/>
                    <w:left w:val="nil"/>
                    <w:bottom w:val="single" w:sz="4" w:space="0" w:color="auto"/>
                    <w:right w:val="single" w:sz="4" w:space="0" w:color="auto"/>
                  </w:tcBorders>
                  <w:shd w:val="clear" w:color="auto" w:fill="auto"/>
                </w:tcPr>
                <w:p w14:paraId="589E0206" w14:textId="77777777" w:rsidR="00172D8B" w:rsidRPr="00D47B57" w:rsidRDefault="00172D8B" w:rsidP="004C2506">
                  <w:pPr>
                    <w:spacing w:after="0"/>
                    <w:rPr>
                      <w:rFonts w:ascii="Calibri" w:eastAsia="Times New Roman" w:hAnsi="Calibri" w:cs="Times New Roman"/>
                      <w:color w:val="000000"/>
                      <w:sz w:val="22"/>
                      <w:szCs w:val="22"/>
                      <w:highlight w:val="green"/>
                      <w:lang w:val="en-GB" w:eastAsia="en-GB"/>
                    </w:rPr>
                  </w:pPr>
                </w:p>
              </w:tc>
            </w:tr>
            <w:tr w:rsidR="00172D8B" w:rsidRPr="00D47B57" w14:paraId="59208687" w14:textId="77777777" w:rsidTr="004C2506">
              <w:trPr>
                <w:trHeight w:val="576"/>
              </w:trPr>
              <w:tc>
                <w:tcPr>
                  <w:tcW w:w="2720" w:type="dxa"/>
                  <w:tcBorders>
                    <w:top w:val="single" w:sz="4" w:space="0" w:color="auto"/>
                    <w:left w:val="single" w:sz="4" w:space="0" w:color="auto"/>
                    <w:bottom w:val="single" w:sz="4" w:space="0" w:color="auto"/>
                    <w:right w:val="single" w:sz="4" w:space="0" w:color="auto"/>
                  </w:tcBorders>
                  <w:shd w:val="clear" w:color="auto" w:fill="auto"/>
                  <w:noWrap/>
                </w:tcPr>
                <w:p w14:paraId="340478C1" w14:textId="77777777" w:rsidR="00172D8B" w:rsidRPr="00D47B57" w:rsidRDefault="00172D8B" w:rsidP="004C2506">
                  <w:pPr>
                    <w:spacing w:after="0"/>
                    <w:rPr>
                      <w:rFonts w:ascii="Calibri" w:eastAsia="Times New Roman" w:hAnsi="Calibri" w:cs="Times New Roman"/>
                      <w:color w:val="000000"/>
                      <w:sz w:val="22"/>
                      <w:szCs w:val="22"/>
                      <w:highlight w:val="green"/>
                      <w:lang w:val="en-GB" w:eastAsia="en-GB"/>
                    </w:rPr>
                  </w:pPr>
                </w:p>
              </w:tc>
              <w:tc>
                <w:tcPr>
                  <w:tcW w:w="5468" w:type="dxa"/>
                  <w:tcBorders>
                    <w:top w:val="single" w:sz="4" w:space="0" w:color="auto"/>
                    <w:left w:val="nil"/>
                    <w:bottom w:val="single" w:sz="4" w:space="0" w:color="auto"/>
                    <w:right w:val="single" w:sz="4" w:space="0" w:color="auto"/>
                  </w:tcBorders>
                  <w:shd w:val="clear" w:color="auto" w:fill="auto"/>
                </w:tcPr>
                <w:p w14:paraId="2A9960BA" w14:textId="77777777" w:rsidR="00172D8B" w:rsidRPr="00D47B57" w:rsidRDefault="00172D8B" w:rsidP="004C2506">
                  <w:pPr>
                    <w:spacing w:after="0"/>
                    <w:rPr>
                      <w:rFonts w:ascii="Calibri" w:eastAsia="Times New Roman" w:hAnsi="Calibri" w:cs="Times New Roman"/>
                      <w:color w:val="000000"/>
                      <w:sz w:val="22"/>
                      <w:szCs w:val="22"/>
                      <w:highlight w:val="green"/>
                      <w:lang w:val="en-GB" w:eastAsia="en-GB"/>
                    </w:rPr>
                  </w:pPr>
                </w:p>
              </w:tc>
            </w:tr>
            <w:tr w:rsidR="00172D8B" w:rsidRPr="00D47B57" w14:paraId="2A164F8E" w14:textId="77777777" w:rsidTr="004C2506">
              <w:trPr>
                <w:trHeight w:val="576"/>
              </w:trPr>
              <w:tc>
                <w:tcPr>
                  <w:tcW w:w="2720" w:type="dxa"/>
                  <w:tcBorders>
                    <w:top w:val="single" w:sz="4" w:space="0" w:color="auto"/>
                    <w:left w:val="single" w:sz="4" w:space="0" w:color="auto"/>
                    <w:bottom w:val="single" w:sz="4" w:space="0" w:color="auto"/>
                    <w:right w:val="single" w:sz="4" w:space="0" w:color="auto"/>
                  </w:tcBorders>
                  <w:shd w:val="clear" w:color="auto" w:fill="auto"/>
                  <w:noWrap/>
                </w:tcPr>
                <w:p w14:paraId="4FD5C368" w14:textId="77777777" w:rsidR="00172D8B" w:rsidRPr="00D47B57" w:rsidRDefault="00172D8B" w:rsidP="004C2506">
                  <w:pPr>
                    <w:spacing w:after="0"/>
                    <w:rPr>
                      <w:rFonts w:ascii="Calibri" w:eastAsia="Times New Roman" w:hAnsi="Calibri" w:cs="Times New Roman"/>
                      <w:color w:val="000000"/>
                      <w:sz w:val="22"/>
                      <w:szCs w:val="22"/>
                      <w:highlight w:val="green"/>
                      <w:lang w:val="en-GB" w:eastAsia="en-GB"/>
                    </w:rPr>
                  </w:pPr>
                </w:p>
              </w:tc>
              <w:tc>
                <w:tcPr>
                  <w:tcW w:w="5468" w:type="dxa"/>
                  <w:tcBorders>
                    <w:top w:val="single" w:sz="4" w:space="0" w:color="auto"/>
                    <w:left w:val="nil"/>
                    <w:bottom w:val="single" w:sz="4" w:space="0" w:color="auto"/>
                    <w:right w:val="single" w:sz="4" w:space="0" w:color="auto"/>
                  </w:tcBorders>
                  <w:shd w:val="clear" w:color="auto" w:fill="auto"/>
                </w:tcPr>
                <w:p w14:paraId="56B648DE" w14:textId="77777777" w:rsidR="00172D8B" w:rsidRPr="00D47B57" w:rsidRDefault="00172D8B" w:rsidP="004C2506">
                  <w:pPr>
                    <w:spacing w:after="0"/>
                    <w:rPr>
                      <w:rFonts w:ascii="Calibri" w:eastAsia="Times New Roman" w:hAnsi="Calibri" w:cs="Times New Roman"/>
                      <w:color w:val="000000"/>
                      <w:sz w:val="22"/>
                      <w:szCs w:val="22"/>
                      <w:highlight w:val="green"/>
                      <w:lang w:val="en-GB" w:eastAsia="en-GB"/>
                    </w:rPr>
                  </w:pPr>
                </w:p>
              </w:tc>
            </w:tr>
            <w:tr w:rsidR="00172D8B" w:rsidRPr="00D47B57" w14:paraId="13C72C94" w14:textId="77777777" w:rsidTr="004C2506">
              <w:trPr>
                <w:trHeight w:val="576"/>
              </w:trPr>
              <w:tc>
                <w:tcPr>
                  <w:tcW w:w="2720" w:type="dxa"/>
                  <w:tcBorders>
                    <w:top w:val="nil"/>
                    <w:left w:val="single" w:sz="4" w:space="0" w:color="auto"/>
                    <w:bottom w:val="single" w:sz="4" w:space="0" w:color="auto"/>
                    <w:right w:val="single" w:sz="4" w:space="0" w:color="auto"/>
                  </w:tcBorders>
                  <w:shd w:val="clear" w:color="auto" w:fill="auto"/>
                  <w:noWrap/>
                </w:tcPr>
                <w:p w14:paraId="34F6CB6F" w14:textId="77777777" w:rsidR="00172D8B" w:rsidRPr="00D47B57" w:rsidRDefault="00172D8B" w:rsidP="004C2506">
                  <w:pPr>
                    <w:spacing w:after="0"/>
                    <w:rPr>
                      <w:rFonts w:ascii="Calibri" w:eastAsia="Times New Roman" w:hAnsi="Calibri" w:cs="Times New Roman"/>
                      <w:color w:val="000000"/>
                      <w:sz w:val="22"/>
                      <w:szCs w:val="22"/>
                      <w:highlight w:val="green"/>
                      <w:lang w:val="en-GB" w:eastAsia="en-GB"/>
                    </w:rPr>
                  </w:pPr>
                </w:p>
              </w:tc>
              <w:tc>
                <w:tcPr>
                  <w:tcW w:w="5468" w:type="dxa"/>
                  <w:tcBorders>
                    <w:top w:val="nil"/>
                    <w:left w:val="nil"/>
                    <w:bottom w:val="single" w:sz="4" w:space="0" w:color="auto"/>
                    <w:right w:val="single" w:sz="4" w:space="0" w:color="auto"/>
                  </w:tcBorders>
                  <w:shd w:val="clear" w:color="auto" w:fill="auto"/>
                </w:tcPr>
                <w:p w14:paraId="7AE73AC9" w14:textId="77777777" w:rsidR="00172D8B" w:rsidRPr="00D47B57" w:rsidRDefault="00172D8B" w:rsidP="004C2506">
                  <w:pPr>
                    <w:spacing w:after="0"/>
                    <w:rPr>
                      <w:rFonts w:ascii="Calibri" w:eastAsia="Times New Roman" w:hAnsi="Calibri" w:cs="Times New Roman"/>
                      <w:color w:val="000000"/>
                      <w:sz w:val="22"/>
                      <w:szCs w:val="22"/>
                      <w:highlight w:val="green"/>
                      <w:lang w:val="en-GB" w:eastAsia="en-GB"/>
                    </w:rPr>
                  </w:pPr>
                </w:p>
              </w:tc>
            </w:tr>
            <w:tr w:rsidR="00172D8B" w:rsidRPr="00D47B57" w14:paraId="374BB709" w14:textId="77777777" w:rsidTr="004C2506">
              <w:trPr>
                <w:trHeight w:val="576"/>
              </w:trPr>
              <w:tc>
                <w:tcPr>
                  <w:tcW w:w="2720" w:type="dxa"/>
                  <w:tcBorders>
                    <w:top w:val="single" w:sz="4" w:space="0" w:color="auto"/>
                    <w:left w:val="single" w:sz="4" w:space="0" w:color="auto"/>
                    <w:bottom w:val="single" w:sz="4" w:space="0" w:color="auto"/>
                    <w:right w:val="single" w:sz="4" w:space="0" w:color="auto"/>
                  </w:tcBorders>
                  <w:shd w:val="clear" w:color="auto" w:fill="auto"/>
                  <w:noWrap/>
                </w:tcPr>
                <w:p w14:paraId="5B05F178" w14:textId="77777777" w:rsidR="00172D8B" w:rsidRPr="00D47B57" w:rsidRDefault="00172D8B" w:rsidP="004C2506">
                  <w:pPr>
                    <w:spacing w:after="0"/>
                    <w:rPr>
                      <w:rFonts w:ascii="Calibri" w:eastAsia="Times New Roman" w:hAnsi="Calibri" w:cs="Times New Roman"/>
                      <w:color w:val="000000"/>
                      <w:sz w:val="22"/>
                      <w:szCs w:val="22"/>
                      <w:highlight w:val="green"/>
                      <w:lang w:val="en-GB" w:eastAsia="en-GB"/>
                    </w:rPr>
                  </w:pPr>
                </w:p>
              </w:tc>
              <w:tc>
                <w:tcPr>
                  <w:tcW w:w="5468" w:type="dxa"/>
                  <w:tcBorders>
                    <w:top w:val="single" w:sz="4" w:space="0" w:color="auto"/>
                    <w:left w:val="nil"/>
                    <w:bottom w:val="single" w:sz="4" w:space="0" w:color="auto"/>
                    <w:right w:val="single" w:sz="4" w:space="0" w:color="auto"/>
                  </w:tcBorders>
                  <w:shd w:val="clear" w:color="auto" w:fill="auto"/>
                </w:tcPr>
                <w:p w14:paraId="0E0D8248" w14:textId="77777777" w:rsidR="00172D8B" w:rsidRPr="00D47B57" w:rsidRDefault="00172D8B" w:rsidP="004C2506">
                  <w:pPr>
                    <w:spacing w:after="0"/>
                    <w:rPr>
                      <w:rFonts w:ascii="Calibri" w:eastAsia="Times New Roman" w:hAnsi="Calibri" w:cs="Times New Roman"/>
                      <w:color w:val="000000"/>
                      <w:sz w:val="22"/>
                      <w:szCs w:val="22"/>
                      <w:highlight w:val="green"/>
                      <w:lang w:val="en-GB" w:eastAsia="en-GB"/>
                    </w:rPr>
                  </w:pPr>
                </w:p>
              </w:tc>
            </w:tr>
            <w:tr w:rsidR="00172D8B" w:rsidRPr="00D47B57" w14:paraId="6A41E037" w14:textId="77777777" w:rsidTr="004C2506">
              <w:trPr>
                <w:trHeight w:val="576"/>
              </w:trPr>
              <w:tc>
                <w:tcPr>
                  <w:tcW w:w="2720" w:type="dxa"/>
                  <w:tcBorders>
                    <w:top w:val="single" w:sz="4" w:space="0" w:color="auto"/>
                    <w:left w:val="single" w:sz="4" w:space="0" w:color="auto"/>
                    <w:bottom w:val="single" w:sz="4" w:space="0" w:color="auto"/>
                    <w:right w:val="single" w:sz="4" w:space="0" w:color="auto"/>
                  </w:tcBorders>
                  <w:shd w:val="clear" w:color="auto" w:fill="auto"/>
                  <w:noWrap/>
                </w:tcPr>
                <w:p w14:paraId="6EB9948E" w14:textId="77777777" w:rsidR="00172D8B" w:rsidRPr="00D47B57" w:rsidRDefault="00172D8B" w:rsidP="004C2506">
                  <w:pPr>
                    <w:spacing w:after="0"/>
                    <w:rPr>
                      <w:rFonts w:ascii="Calibri" w:eastAsia="Times New Roman" w:hAnsi="Calibri" w:cs="Times New Roman"/>
                      <w:color w:val="000000"/>
                      <w:sz w:val="22"/>
                      <w:szCs w:val="22"/>
                      <w:highlight w:val="green"/>
                      <w:lang w:val="en-GB" w:eastAsia="en-GB"/>
                    </w:rPr>
                  </w:pPr>
                </w:p>
              </w:tc>
              <w:tc>
                <w:tcPr>
                  <w:tcW w:w="5468" w:type="dxa"/>
                  <w:tcBorders>
                    <w:top w:val="single" w:sz="4" w:space="0" w:color="auto"/>
                    <w:left w:val="nil"/>
                    <w:bottom w:val="single" w:sz="4" w:space="0" w:color="auto"/>
                    <w:right w:val="single" w:sz="4" w:space="0" w:color="auto"/>
                  </w:tcBorders>
                  <w:shd w:val="clear" w:color="auto" w:fill="auto"/>
                </w:tcPr>
                <w:p w14:paraId="608505F1" w14:textId="77777777" w:rsidR="00172D8B" w:rsidRPr="00D47B57" w:rsidRDefault="00172D8B" w:rsidP="004C2506">
                  <w:pPr>
                    <w:spacing w:after="0"/>
                    <w:rPr>
                      <w:rFonts w:ascii="Calibri" w:eastAsia="Times New Roman" w:hAnsi="Calibri" w:cs="Times New Roman"/>
                      <w:color w:val="000000"/>
                      <w:sz w:val="22"/>
                      <w:szCs w:val="22"/>
                      <w:highlight w:val="green"/>
                      <w:lang w:val="en-GB" w:eastAsia="en-GB"/>
                    </w:rPr>
                  </w:pPr>
                </w:p>
              </w:tc>
            </w:tr>
            <w:tr w:rsidR="00172D8B" w:rsidRPr="00D47B57" w14:paraId="413BE61C" w14:textId="77777777" w:rsidTr="004C2506">
              <w:trPr>
                <w:trHeight w:val="576"/>
              </w:trPr>
              <w:tc>
                <w:tcPr>
                  <w:tcW w:w="2720" w:type="dxa"/>
                  <w:tcBorders>
                    <w:top w:val="single" w:sz="4" w:space="0" w:color="auto"/>
                    <w:left w:val="single" w:sz="4" w:space="0" w:color="auto"/>
                    <w:bottom w:val="single" w:sz="4" w:space="0" w:color="auto"/>
                    <w:right w:val="single" w:sz="4" w:space="0" w:color="auto"/>
                  </w:tcBorders>
                  <w:shd w:val="clear" w:color="auto" w:fill="auto"/>
                  <w:noWrap/>
                </w:tcPr>
                <w:p w14:paraId="7C438CDF" w14:textId="77777777" w:rsidR="00172D8B" w:rsidRPr="00D47B57" w:rsidRDefault="00172D8B" w:rsidP="004C2506">
                  <w:pPr>
                    <w:spacing w:after="0"/>
                    <w:rPr>
                      <w:rFonts w:ascii="Calibri" w:eastAsia="Times New Roman" w:hAnsi="Calibri" w:cs="Times New Roman"/>
                      <w:color w:val="000000"/>
                      <w:sz w:val="22"/>
                      <w:szCs w:val="22"/>
                      <w:highlight w:val="green"/>
                      <w:lang w:val="en-GB" w:eastAsia="en-GB"/>
                    </w:rPr>
                  </w:pPr>
                </w:p>
              </w:tc>
              <w:tc>
                <w:tcPr>
                  <w:tcW w:w="5468" w:type="dxa"/>
                  <w:tcBorders>
                    <w:top w:val="single" w:sz="4" w:space="0" w:color="auto"/>
                    <w:left w:val="nil"/>
                    <w:bottom w:val="single" w:sz="4" w:space="0" w:color="auto"/>
                    <w:right w:val="single" w:sz="4" w:space="0" w:color="auto"/>
                  </w:tcBorders>
                  <w:shd w:val="clear" w:color="auto" w:fill="auto"/>
                </w:tcPr>
                <w:p w14:paraId="4680409F" w14:textId="77777777" w:rsidR="00172D8B" w:rsidRPr="00D47B57" w:rsidRDefault="00172D8B" w:rsidP="004C2506">
                  <w:pPr>
                    <w:spacing w:after="0"/>
                    <w:rPr>
                      <w:rFonts w:ascii="Calibri" w:eastAsia="Times New Roman" w:hAnsi="Calibri" w:cs="Times New Roman"/>
                      <w:color w:val="000000"/>
                      <w:sz w:val="22"/>
                      <w:szCs w:val="22"/>
                      <w:highlight w:val="green"/>
                      <w:lang w:val="en-GB" w:eastAsia="en-GB"/>
                    </w:rPr>
                  </w:pPr>
                </w:p>
              </w:tc>
            </w:tr>
            <w:tr w:rsidR="00172D8B" w:rsidRPr="00D47B57" w14:paraId="3217DB55" w14:textId="77777777" w:rsidTr="004C2506">
              <w:trPr>
                <w:trHeight w:val="576"/>
              </w:trPr>
              <w:tc>
                <w:tcPr>
                  <w:tcW w:w="2720" w:type="dxa"/>
                  <w:tcBorders>
                    <w:top w:val="single" w:sz="4" w:space="0" w:color="auto"/>
                    <w:left w:val="single" w:sz="4" w:space="0" w:color="auto"/>
                    <w:bottom w:val="single" w:sz="4" w:space="0" w:color="auto"/>
                    <w:right w:val="single" w:sz="4" w:space="0" w:color="auto"/>
                  </w:tcBorders>
                  <w:shd w:val="clear" w:color="auto" w:fill="auto"/>
                  <w:noWrap/>
                </w:tcPr>
                <w:p w14:paraId="31F78B8D" w14:textId="77777777" w:rsidR="00172D8B" w:rsidRPr="00D47B57" w:rsidRDefault="00172D8B" w:rsidP="004C2506">
                  <w:pPr>
                    <w:spacing w:after="0"/>
                    <w:rPr>
                      <w:rFonts w:ascii="Calibri" w:eastAsia="Times New Roman" w:hAnsi="Calibri" w:cs="Times New Roman"/>
                      <w:color w:val="000000"/>
                      <w:sz w:val="22"/>
                      <w:szCs w:val="22"/>
                      <w:highlight w:val="green"/>
                      <w:lang w:val="en-GB" w:eastAsia="en-GB"/>
                    </w:rPr>
                  </w:pPr>
                </w:p>
              </w:tc>
              <w:tc>
                <w:tcPr>
                  <w:tcW w:w="5468" w:type="dxa"/>
                  <w:tcBorders>
                    <w:top w:val="single" w:sz="4" w:space="0" w:color="auto"/>
                    <w:left w:val="nil"/>
                    <w:bottom w:val="single" w:sz="4" w:space="0" w:color="auto"/>
                    <w:right w:val="single" w:sz="4" w:space="0" w:color="auto"/>
                  </w:tcBorders>
                  <w:shd w:val="clear" w:color="auto" w:fill="auto"/>
                </w:tcPr>
                <w:p w14:paraId="00B16FBA" w14:textId="77777777" w:rsidR="00172D8B" w:rsidRPr="00D47B57" w:rsidRDefault="00172D8B" w:rsidP="004C2506">
                  <w:pPr>
                    <w:spacing w:after="0"/>
                    <w:rPr>
                      <w:rFonts w:ascii="Calibri" w:eastAsia="Times New Roman" w:hAnsi="Calibri" w:cs="Times New Roman"/>
                      <w:color w:val="000000"/>
                      <w:sz w:val="22"/>
                      <w:szCs w:val="22"/>
                      <w:highlight w:val="green"/>
                      <w:lang w:val="en-GB" w:eastAsia="en-GB"/>
                    </w:rPr>
                  </w:pPr>
                </w:p>
              </w:tc>
            </w:tr>
            <w:tr w:rsidR="00172D8B" w:rsidRPr="00214F8B" w14:paraId="525A88F3" w14:textId="77777777" w:rsidTr="004C2506">
              <w:trPr>
                <w:trHeight w:val="576"/>
              </w:trPr>
              <w:tc>
                <w:tcPr>
                  <w:tcW w:w="2720" w:type="dxa"/>
                  <w:tcBorders>
                    <w:top w:val="nil"/>
                    <w:left w:val="single" w:sz="4" w:space="0" w:color="auto"/>
                    <w:bottom w:val="single" w:sz="4" w:space="0" w:color="auto"/>
                    <w:right w:val="single" w:sz="4" w:space="0" w:color="auto"/>
                  </w:tcBorders>
                  <w:shd w:val="clear" w:color="auto" w:fill="auto"/>
                  <w:noWrap/>
                </w:tcPr>
                <w:p w14:paraId="58461E86" w14:textId="77777777" w:rsidR="00172D8B" w:rsidRPr="00D47B57" w:rsidRDefault="00172D8B" w:rsidP="004C2506">
                  <w:pPr>
                    <w:spacing w:after="0"/>
                    <w:rPr>
                      <w:rFonts w:ascii="Calibri" w:eastAsia="Times New Roman" w:hAnsi="Calibri" w:cs="Times New Roman"/>
                      <w:color w:val="000000"/>
                      <w:sz w:val="22"/>
                      <w:szCs w:val="22"/>
                      <w:highlight w:val="green"/>
                      <w:lang w:val="en-GB" w:eastAsia="en-GB"/>
                    </w:rPr>
                  </w:pPr>
                </w:p>
              </w:tc>
              <w:tc>
                <w:tcPr>
                  <w:tcW w:w="5468" w:type="dxa"/>
                  <w:tcBorders>
                    <w:top w:val="nil"/>
                    <w:left w:val="nil"/>
                    <w:bottom w:val="single" w:sz="4" w:space="0" w:color="auto"/>
                    <w:right w:val="single" w:sz="4" w:space="0" w:color="auto"/>
                  </w:tcBorders>
                  <w:shd w:val="clear" w:color="auto" w:fill="auto"/>
                </w:tcPr>
                <w:p w14:paraId="150DED6F" w14:textId="77777777" w:rsidR="00172D8B" w:rsidRPr="00214F8B" w:rsidRDefault="00172D8B" w:rsidP="004C2506">
                  <w:pPr>
                    <w:spacing w:after="0"/>
                    <w:rPr>
                      <w:rFonts w:ascii="Calibri" w:eastAsia="Times New Roman" w:hAnsi="Calibri" w:cs="Times New Roman"/>
                      <w:color w:val="000000"/>
                      <w:sz w:val="22"/>
                      <w:szCs w:val="22"/>
                      <w:lang w:val="en-GB" w:eastAsia="en-GB"/>
                    </w:rPr>
                  </w:pPr>
                </w:p>
              </w:tc>
            </w:tr>
          </w:tbl>
          <w:p w14:paraId="7644B302" w14:textId="77777777" w:rsidR="00172D8B" w:rsidRPr="00A810D5" w:rsidRDefault="00172D8B" w:rsidP="004C2506">
            <w:pPr>
              <w:spacing w:after="0"/>
              <w:rPr>
                <w:rFonts w:cs="Arial"/>
                <w:b/>
              </w:rPr>
            </w:pPr>
          </w:p>
          <w:p w14:paraId="449440AC" w14:textId="77777777" w:rsidR="00172D8B" w:rsidRPr="00DD2DC2" w:rsidRDefault="00172D8B" w:rsidP="004C2506">
            <w:pPr>
              <w:spacing w:after="0"/>
              <w:rPr>
                <w:rFonts w:cs="Arial"/>
                <w:b/>
                <w:lang w:val="en-GB"/>
              </w:rPr>
            </w:pPr>
            <w:r w:rsidRPr="00DD2DC2">
              <w:rPr>
                <w:rFonts w:cs="Arial"/>
                <w:b/>
                <w:lang w:val="en-GB"/>
              </w:rPr>
              <w:t>Premises Requirements</w:t>
            </w:r>
          </w:p>
          <w:p w14:paraId="0681E486" w14:textId="77777777" w:rsidR="00172D8B" w:rsidRPr="00085228" w:rsidRDefault="00172D8B" w:rsidP="00172D8B">
            <w:pPr>
              <w:numPr>
                <w:ilvl w:val="0"/>
                <w:numId w:val="23"/>
              </w:numPr>
              <w:spacing w:after="0"/>
              <w:jc w:val="left"/>
              <w:rPr>
                <w:rFonts w:cs="Arial"/>
                <w:lang w:val="en-GB"/>
              </w:rPr>
            </w:pPr>
            <w:r w:rsidRPr="00085228">
              <w:rPr>
                <w:rFonts w:cs="Arial"/>
                <w:lang w:val="en-GB"/>
              </w:rPr>
              <w:t>If a consultation room is available, consultations should take place in that room.</w:t>
            </w:r>
          </w:p>
          <w:p w14:paraId="40289A95" w14:textId="77777777" w:rsidR="00172D8B" w:rsidRPr="003B6081" w:rsidRDefault="00172D8B" w:rsidP="00172D8B">
            <w:pPr>
              <w:numPr>
                <w:ilvl w:val="0"/>
                <w:numId w:val="23"/>
              </w:numPr>
              <w:spacing w:after="0"/>
              <w:jc w:val="left"/>
              <w:rPr>
                <w:rFonts w:cs="Arial"/>
                <w:lang w:val="en-GB"/>
              </w:rPr>
            </w:pPr>
            <w:r w:rsidRPr="00085228">
              <w:rPr>
                <w:rFonts w:cs="Arial"/>
                <w:lang w:val="en-GB"/>
              </w:rPr>
              <w:t>If a consultation room is not available, or the patient does not wish to use the consultation room, then the pharmacist must give consideration to the part of the pharmacy used for provision of the service, which should provide a sufficient level of privacy and safety.</w:t>
            </w:r>
          </w:p>
          <w:p w14:paraId="70BF1EEB" w14:textId="77777777" w:rsidR="00172D8B" w:rsidRDefault="00172D8B" w:rsidP="004C2506">
            <w:pPr>
              <w:spacing w:after="0"/>
              <w:rPr>
                <w:rFonts w:cs="Arial"/>
              </w:rPr>
            </w:pPr>
          </w:p>
          <w:p w14:paraId="6F120093" w14:textId="77777777" w:rsidR="00172D8B" w:rsidRPr="00A810D5" w:rsidRDefault="00172D8B" w:rsidP="004C2506">
            <w:pPr>
              <w:spacing w:after="0"/>
              <w:rPr>
                <w:rFonts w:cs="Arial"/>
              </w:rPr>
            </w:pPr>
          </w:p>
        </w:tc>
      </w:tr>
      <w:tr w:rsidR="00172D8B" w:rsidRPr="00B5552C" w14:paraId="707148DE" w14:textId="77777777" w:rsidTr="007F18D8">
        <w:tc>
          <w:tcPr>
            <w:tcW w:w="5000" w:type="pct"/>
            <w:shd w:val="clear" w:color="auto" w:fill="auto"/>
          </w:tcPr>
          <w:p w14:paraId="261E38AF" w14:textId="77777777" w:rsidR="00172D8B" w:rsidRPr="00A810D5" w:rsidRDefault="00172D8B" w:rsidP="004C2506">
            <w:pPr>
              <w:spacing w:after="0" w:line="276" w:lineRule="auto"/>
              <w:rPr>
                <w:rFonts w:cs="Arial"/>
                <w:b/>
              </w:rPr>
            </w:pPr>
            <w:r w:rsidRPr="00A810D5">
              <w:rPr>
                <w:rFonts w:cs="Arial"/>
                <w:b/>
              </w:rPr>
              <w:t>7.</w:t>
            </w:r>
            <w:r w:rsidRPr="00A810D5">
              <w:rPr>
                <w:rFonts w:cs="Arial"/>
                <w:b/>
              </w:rPr>
              <w:tab/>
              <w:t>Individual Service User Placement</w:t>
            </w:r>
          </w:p>
        </w:tc>
      </w:tr>
      <w:tr w:rsidR="00172D8B" w:rsidRPr="00512021" w14:paraId="34439711" w14:textId="77777777" w:rsidTr="007F18D8">
        <w:tc>
          <w:tcPr>
            <w:tcW w:w="5000" w:type="pct"/>
            <w:shd w:val="clear" w:color="auto" w:fill="auto"/>
          </w:tcPr>
          <w:p w14:paraId="45056ECD" w14:textId="77777777" w:rsidR="00172D8B" w:rsidRPr="00A810D5" w:rsidRDefault="00172D8B" w:rsidP="004C2506">
            <w:pPr>
              <w:spacing w:after="0"/>
              <w:rPr>
                <w:rFonts w:cs="Arial"/>
              </w:rPr>
            </w:pPr>
          </w:p>
          <w:p w14:paraId="7C787594" w14:textId="77777777" w:rsidR="00172D8B" w:rsidRPr="00A810D5" w:rsidRDefault="00172D8B" w:rsidP="004C2506">
            <w:pPr>
              <w:spacing w:after="0"/>
              <w:rPr>
                <w:rFonts w:cs="Arial"/>
              </w:rPr>
            </w:pPr>
            <w:r>
              <w:rPr>
                <w:rFonts w:cs="Arial"/>
              </w:rPr>
              <w:t>Not applicable</w:t>
            </w:r>
          </w:p>
        </w:tc>
      </w:tr>
    </w:tbl>
    <w:p w14:paraId="20073B06" w14:textId="77777777" w:rsidR="00172D8B" w:rsidRDefault="00172D8B" w:rsidP="008F3550"/>
    <w:sectPr w:rsidR="00172D8B" w:rsidSect="00E80E14">
      <w:headerReference w:type="even" r:id="rId13"/>
      <w:headerReference w:type="default" r:id="rId14"/>
      <w:headerReference w:type="first" r:id="rId15"/>
      <w:pgSz w:w="11906" w:h="16838"/>
      <w:pgMar w:top="1440" w:right="1440" w:bottom="1440" w:left="1440" w:header="708"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B2B4F5" w14:textId="77777777" w:rsidR="004C2506" w:rsidRDefault="004C2506" w:rsidP="00524D54">
      <w:pPr>
        <w:spacing w:after="0"/>
      </w:pPr>
      <w:r>
        <w:separator/>
      </w:r>
    </w:p>
  </w:endnote>
  <w:endnote w:type="continuationSeparator" w:id="0">
    <w:p w14:paraId="4C05F77D" w14:textId="77777777" w:rsidR="004C2506" w:rsidRDefault="004C2506" w:rsidP="00524D5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8F9075" w14:textId="77777777" w:rsidR="004C2506" w:rsidRDefault="004C2506" w:rsidP="00524D54">
      <w:pPr>
        <w:spacing w:after="0"/>
      </w:pPr>
      <w:r>
        <w:separator/>
      </w:r>
    </w:p>
  </w:footnote>
  <w:footnote w:type="continuationSeparator" w:id="0">
    <w:p w14:paraId="6C952D31" w14:textId="77777777" w:rsidR="004C2506" w:rsidRDefault="004C2506" w:rsidP="00524D5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75B2EC" w14:textId="77777777" w:rsidR="0026049C" w:rsidRDefault="002C5263">
    <w:pPr>
      <w:pStyle w:val="Header"/>
    </w:pPr>
    <w:r>
      <w:rPr>
        <w:noProof/>
      </w:rPr>
      <w:pict w14:anchorId="2BB6CF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85110" o:spid="_x0000_s98306" type="#_x0000_t136" style="position:absolute;left:0;text-align:left;margin-left:0;margin-top:0;width:454.5pt;height:181.8pt;rotation:315;z-index:-251654144;mso-position-horizontal:center;mso-position-horizontal-relative:margin;mso-position-vertical:center;mso-position-vertical-relative:margin" o:allowincell="f" fillcolor="silver" stroked="f">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79D418" w14:textId="77777777" w:rsidR="004C2506" w:rsidRDefault="002C5263">
    <w:pPr>
      <w:pStyle w:val="Header"/>
    </w:pPr>
    <w:r>
      <w:rPr>
        <w:noProof/>
      </w:rPr>
      <w:pict w14:anchorId="1F3ED8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85111" o:spid="_x0000_s98307" type="#_x0000_t136" style="position:absolute;left:0;text-align:left;margin-left:0;margin-top:0;width:454.5pt;height:181.8pt;rotation:315;z-index:-251652096;mso-position-horizontal:center;mso-position-horizontal-relative:margin;mso-position-vertical:center;mso-position-vertical-relative:margin" o:allowincell="f" fillcolor="silver" stroked="f">
          <v:textpath style="font-family:&quot;Arial&quot;;font-size:1pt" string="DRAFT"/>
          <w10:wrap anchorx="margin" anchory="margin"/>
        </v:shape>
      </w:pict>
    </w:r>
    <w:r w:rsidR="0026049C">
      <w:rPr>
        <w:noProof/>
        <w:lang w:val="en-GB" w:eastAsia="en-GB"/>
      </w:rPr>
      <w:drawing>
        <wp:anchor distT="0" distB="0" distL="114300" distR="114300" simplePos="0" relativeHeight="251658240" behindDoc="0" locked="0" layoutInCell="1" allowOverlap="1" wp14:anchorId="48FD5C9D" wp14:editId="3AD6CDEC">
          <wp:simplePos x="0" y="0"/>
          <wp:positionH relativeFrom="margin">
            <wp:posOffset>3231857</wp:posOffset>
          </wp:positionH>
          <wp:positionV relativeFrom="margin">
            <wp:posOffset>-576775</wp:posOffset>
          </wp:positionV>
          <wp:extent cx="2907665" cy="1304290"/>
          <wp:effectExtent l="0" t="0" r="698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opped new CCG logo.png"/>
                  <pic:cNvPicPr/>
                </pic:nvPicPr>
                <pic:blipFill>
                  <a:blip r:embed="rId1">
                    <a:extLst>
                      <a:ext uri="{28A0092B-C50C-407E-A947-70E740481C1C}">
                        <a14:useLocalDpi xmlns:a14="http://schemas.microsoft.com/office/drawing/2010/main" val="0"/>
                      </a:ext>
                    </a:extLst>
                  </a:blip>
                  <a:stretch>
                    <a:fillRect/>
                  </a:stretch>
                </pic:blipFill>
                <pic:spPr>
                  <a:xfrm>
                    <a:off x="0" y="0"/>
                    <a:ext cx="2907665" cy="130429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AEB810" w14:textId="77777777" w:rsidR="0026049C" w:rsidRDefault="002C5263">
    <w:pPr>
      <w:pStyle w:val="Header"/>
    </w:pPr>
    <w:r>
      <w:rPr>
        <w:noProof/>
      </w:rPr>
      <w:pict w14:anchorId="5DA6BD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85109" o:spid="_x0000_s98305" type="#_x0000_t136" style="position:absolute;left:0;text-align:left;margin-left:0;margin-top:0;width:454.5pt;height:181.8pt;rotation:315;z-index:-251656192;mso-position-horizontal:center;mso-position-horizontal-relative:margin;mso-position-vertical:center;mso-position-vertical-relative:margin" o:allowincell="f" fillcolor="silver" stroked="f">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E7BA0"/>
    <w:multiLevelType w:val="multilevel"/>
    <w:tmpl w:val="CA688748"/>
    <w:lvl w:ilvl="0">
      <w:start w:val="1"/>
      <w:numFmt w:val="decimal"/>
      <w:lvlText w:val="%1."/>
      <w:lvlJc w:val="left"/>
      <w:pPr>
        <w:ind w:left="360" w:hanging="360"/>
      </w:pPr>
      <w:rPr>
        <w:b/>
      </w:rPr>
    </w:lvl>
    <w:lvl w:ilvl="1">
      <w:start w:val="1"/>
      <w:numFmt w:val="decimal"/>
      <w:pStyle w:val="TitleV5"/>
      <w:lvlText w:val="%1.%2."/>
      <w:lvlJc w:val="left"/>
      <w:pPr>
        <w:ind w:left="999"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ADD6140"/>
    <w:multiLevelType w:val="hybridMultilevel"/>
    <w:tmpl w:val="1C82E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3A5AC1"/>
    <w:multiLevelType w:val="hybridMultilevel"/>
    <w:tmpl w:val="CBB6C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CC2735"/>
    <w:multiLevelType w:val="hybridMultilevel"/>
    <w:tmpl w:val="D2C46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2D69D5"/>
    <w:multiLevelType w:val="hybridMultilevel"/>
    <w:tmpl w:val="4CACE6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2268F3"/>
    <w:multiLevelType w:val="hybridMultilevel"/>
    <w:tmpl w:val="DBE2E9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B46840"/>
    <w:multiLevelType w:val="hybridMultilevel"/>
    <w:tmpl w:val="1CFC6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B8146F"/>
    <w:multiLevelType w:val="hybridMultilevel"/>
    <w:tmpl w:val="467C7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EF1166"/>
    <w:multiLevelType w:val="hybridMultilevel"/>
    <w:tmpl w:val="59E2CC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9269D6"/>
    <w:multiLevelType w:val="hybridMultilevel"/>
    <w:tmpl w:val="00D423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D68190C"/>
    <w:multiLevelType w:val="multilevel"/>
    <w:tmpl w:val="20D4C514"/>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b w:val="0"/>
        <w:bCs w:val="0"/>
        <w:i w:val="0"/>
        <w:iCs w:val="0"/>
        <w:caps w:val="0"/>
        <w:smallCaps w:val="0"/>
        <w:strike w:val="0"/>
        <w:dstrike w:val="0"/>
        <w:outline w:val="0"/>
        <w:shadow w:val="0"/>
        <w:emboss w:val="0"/>
        <w:imprint w:val="0"/>
        <w:noProof w:val="0"/>
        <w:vanish w:val="0"/>
        <w:color w:val="1F497D" w:themeColor="text2"/>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1080" w:hanging="720"/>
      </w:pPr>
      <w:rPr>
        <w:rFonts w:hint="default"/>
        <w:color w:val="1F497D" w:themeColor="text2"/>
      </w:rPr>
    </w:lvl>
    <w:lvl w:ilvl="3">
      <w:start w:val="1"/>
      <w:numFmt w:val="decimal"/>
      <w:isLgl/>
      <w:lvlText w:val="%1.%2.%3.%4"/>
      <w:lvlJc w:val="left"/>
      <w:pPr>
        <w:ind w:left="1080" w:hanging="720"/>
      </w:pPr>
      <w:rPr>
        <w:rFonts w:hint="default"/>
        <w:color w:val="1F497D" w:themeColor="text2"/>
      </w:rPr>
    </w:lvl>
    <w:lvl w:ilvl="4">
      <w:start w:val="1"/>
      <w:numFmt w:val="decimal"/>
      <w:isLgl/>
      <w:lvlText w:val="%1.%2.%3.%4.%5"/>
      <w:lvlJc w:val="left"/>
      <w:pPr>
        <w:ind w:left="1440" w:hanging="1080"/>
      </w:pPr>
      <w:rPr>
        <w:rFonts w:hint="default"/>
        <w:color w:val="1F497D" w:themeColor="text2"/>
      </w:rPr>
    </w:lvl>
    <w:lvl w:ilvl="5">
      <w:start w:val="1"/>
      <w:numFmt w:val="decimal"/>
      <w:isLgl/>
      <w:lvlText w:val="%1.%2.%3.%4.%5.%6"/>
      <w:lvlJc w:val="left"/>
      <w:pPr>
        <w:ind w:left="1440" w:hanging="1080"/>
      </w:pPr>
      <w:rPr>
        <w:rFonts w:hint="default"/>
        <w:color w:val="1F497D" w:themeColor="text2"/>
      </w:rPr>
    </w:lvl>
    <w:lvl w:ilvl="6">
      <w:start w:val="1"/>
      <w:numFmt w:val="decimal"/>
      <w:isLgl/>
      <w:lvlText w:val="%1.%2.%3.%4.%5.%6.%7"/>
      <w:lvlJc w:val="left"/>
      <w:pPr>
        <w:ind w:left="1800" w:hanging="1440"/>
      </w:pPr>
      <w:rPr>
        <w:rFonts w:hint="default"/>
        <w:color w:val="1F497D" w:themeColor="text2"/>
      </w:rPr>
    </w:lvl>
    <w:lvl w:ilvl="7">
      <w:start w:val="1"/>
      <w:numFmt w:val="decimal"/>
      <w:isLgl/>
      <w:lvlText w:val="%1.%2.%3.%4.%5.%6.%7.%8"/>
      <w:lvlJc w:val="left"/>
      <w:pPr>
        <w:ind w:left="1800" w:hanging="1440"/>
      </w:pPr>
      <w:rPr>
        <w:rFonts w:hint="default"/>
        <w:color w:val="1F497D" w:themeColor="text2"/>
      </w:rPr>
    </w:lvl>
    <w:lvl w:ilvl="8">
      <w:start w:val="1"/>
      <w:numFmt w:val="decimal"/>
      <w:isLgl/>
      <w:lvlText w:val="%1.%2.%3.%4.%5.%6.%7.%8.%9"/>
      <w:lvlJc w:val="left"/>
      <w:pPr>
        <w:ind w:left="2160" w:hanging="1800"/>
      </w:pPr>
      <w:rPr>
        <w:rFonts w:hint="default"/>
        <w:color w:val="1F497D" w:themeColor="text2"/>
      </w:rPr>
    </w:lvl>
  </w:abstractNum>
  <w:abstractNum w:abstractNumId="11" w15:restartNumberingAfterBreak="0">
    <w:nsid w:val="2E95597A"/>
    <w:multiLevelType w:val="multilevel"/>
    <w:tmpl w:val="E214AA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88719A6"/>
    <w:multiLevelType w:val="hybridMultilevel"/>
    <w:tmpl w:val="3E524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9404F73"/>
    <w:multiLevelType w:val="hybridMultilevel"/>
    <w:tmpl w:val="41303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96C0A1E"/>
    <w:multiLevelType w:val="hybridMultilevel"/>
    <w:tmpl w:val="89FC27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CCF6C9F"/>
    <w:multiLevelType w:val="hybridMultilevel"/>
    <w:tmpl w:val="A566AE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4D0047F9"/>
    <w:multiLevelType w:val="multilevel"/>
    <w:tmpl w:val="B5563E8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0C13D30"/>
    <w:multiLevelType w:val="hybridMultilevel"/>
    <w:tmpl w:val="415CDC4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57A35FC7"/>
    <w:multiLevelType w:val="hybridMultilevel"/>
    <w:tmpl w:val="3C306640"/>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B44040C"/>
    <w:multiLevelType w:val="hybridMultilevel"/>
    <w:tmpl w:val="F0D84F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DA07D18"/>
    <w:multiLevelType w:val="hybridMultilevel"/>
    <w:tmpl w:val="C1206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DDE4A3E"/>
    <w:multiLevelType w:val="hybridMultilevel"/>
    <w:tmpl w:val="F4341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EBB7E77"/>
    <w:multiLevelType w:val="hybridMultilevel"/>
    <w:tmpl w:val="5798EF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02779A3"/>
    <w:multiLevelType w:val="hybridMultilevel"/>
    <w:tmpl w:val="0B5AE65A"/>
    <w:lvl w:ilvl="0" w:tplc="4D7A9AE4">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2800C39"/>
    <w:multiLevelType w:val="hybridMultilevel"/>
    <w:tmpl w:val="115E9B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9564807"/>
    <w:multiLevelType w:val="hybridMultilevel"/>
    <w:tmpl w:val="CA9C5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9BA4C39"/>
    <w:multiLevelType w:val="hybridMultilevel"/>
    <w:tmpl w:val="2068A0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71384470"/>
    <w:multiLevelType w:val="hybridMultilevel"/>
    <w:tmpl w:val="A9CEAFD4"/>
    <w:lvl w:ilvl="0" w:tplc="079E8880">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4175BAD"/>
    <w:multiLevelType w:val="hybridMultilevel"/>
    <w:tmpl w:val="8C7A9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5633431"/>
    <w:multiLevelType w:val="multilevel"/>
    <w:tmpl w:val="D5B86D2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21"/>
  </w:num>
  <w:num w:numId="3">
    <w:abstractNumId w:val="8"/>
  </w:num>
  <w:num w:numId="4">
    <w:abstractNumId w:val="24"/>
  </w:num>
  <w:num w:numId="5">
    <w:abstractNumId w:val="22"/>
  </w:num>
  <w:num w:numId="6">
    <w:abstractNumId w:val="2"/>
  </w:num>
  <w:num w:numId="7">
    <w:abstractNumId w:val="12"/>
  </w:num>
  <w:num w:numId="8">
    <w:abstractNumId w:val="4"/>
  </w:num>
  <w:num w:numId="9">
    <w:abstractNumId w:val="23"/>
  </w:num>
  <w:num w:numId="10">
    <w:abstractNumId w:val="13"/>
  </w:num>
  <w:num w:numId="11">
    <w:abstractNumId w:val="27"/>
  </w:num>
  <w:num w:numId="12">
    <w:abstractNumId w:val="14"/>
  </w:num>
  <w:num w:numId="13">
    <w:abstractNumId w:val="23"/>
  </w:num>
  <w:num w:numId="14">
    <w:abstractNumId w:val="6"/>
  </w:num>
  <w:num w:numId="15">
    <w:abstractNumId w:val="23"/>
  </w:num>
  <w:num w:numId="16">
    <w:abstractNumId w:val="3"/>
  </w:num>
  <w:num w:numId="17">
    <w:abstractNumId w:val="23"/>
  </w:num>
  <w:num w:numId="18">
    <w:abstractNumId w:val="15"/>
  </w:num>
  <w:num w:numId="19">
    <w:abstractNumId w:val="17"/>
  </w:num>
  <w:num w:numId="20">
    <w:abstractNumId w:val="10"/>
  </w:num>
  <w:num w:numId="21">
    <w:abstractNumId w:val="20"/>
  </w:num>
  <w:num w:numId="22">
    <w:abstractNumId w:val="28"/>
  </w:num>
  <w:num w:numId="23">
    <w:abstractNumId w:val="9"/>
  </w:num>
  <w:num w:numId="24">
    <w:abstractNumId w:val="11"/>
  </w:num>
  <w:num w:numId="25">
    <w:abstractNumId w:val="29"/>
  </w:num>
  <w:num w:numId="26">
    <w:abstractNumId w:val="19"/>
  </w:num>
  <w:num w:numId="27">
    <w:abstractNumId w:val="5"/>
  </w:num>
  <w:num w:numId="28">
    <w:abstractNumId w:val="7"/>
  </w:num>
  <w:num w:numId="29">
    <w:abstractNumId w:val="1"/>
  </w:num>
  <w:num w:numId="30">
    <w:abstractNumId w:val="18"/>
  </w:num>
  <w:num w:numId="31">
    <w:abstractNumId w:val="25"/>
  </w:num>
  <w:num w:numId="32">
    <w:abstractNumId w:val="16"/>
  </w:num>
  <w:num w:numId="3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98308"/>
    <o:shapelayout v:ext="edit">
      <o:idmap v:ext="edit" data="96"/>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57163"/>
    <w:rsid w:val="0003669E"/>
    <w:rsid w:val="000526B5"/>
    <w:rsid w:val="00057163"/>
    <w:rsid w:val="000A1065"/>
    <w:rsid w:val="000B4619"/>
    <w:rsid w:val="000B60DA"/>
    <w:rsid w:val="000D0828"/>
    <w:rsid w:val="001224CF"/>
    <w:rsid w:val="00141B00"/>
    <w:rsid w:val="00155991"/>
    <w:rsid w:val="00172D8B"/>
    <w:rsid w:val="0018607F"/>
    <w:rsid w:val="00187363"/>
    <w:rsid w:val="00193F37"/>
    <w:rsid w:val="001953AB"/>
    <w:rsid w:val="00196FBC"/>
    <w:rsid w:val="001A541D"/>
    <w:rsid w:val="001B2A35"/>
    <w:rsid w:val="001B5974"/>
    <w:rsid w:val="001E593E"/>
    <w:rsid w:val="0026049C"/>
    <w:rsid w:val="002769FA"/>
    <w:rsid w:val="0028525E"/>
    <w:rsid w:val="002B6E8E"/>
    <w:rsid w:val="002C5263"/>
    <w:rsid w:val="002D6C33"/>
    <w:rsid w:val="002E42BB"/>
    <w:rsid w:val="003020D3"/>
    <w:rsid w:val="00317CF8"/>
    <w:rsid w:val="0032499F"/>
    <w:rsid w:val="003D0D61"/>
    <w:rsid w:val="003D26AB"/>
    <w:rsid w:val="00443606"/>
    <w:rsid w:val="00457909"/>
    <w:rsid w:val="00463FC5"/>
    <w:rsid w:val="0046770D"/>
    <w:rsid w:val="00483FC9"/>
    <w:rsid w:val="004A003A"/>
    <w:rsid w:val="004B2533"/>
    <w:rsid w:val="004C0738"/>
    <w:rsid w:val="004C0F47"/>
    <w:rsid w:val="004C2506"/>
    <w:rsid w:val="004C5D33"/>
    <w:rsid w:val="004E29D7"/>
    <w:rsid w:val="004F0B10"/>
    <w:rsid w:val="004F32BD"/>
    <w:rsid w:val="00514C10"/>
    <w:rsid w:val="00515667"/>
    <w:rsid w:val="00524D54"/>
    <w:rsid w:val="005668D0"/>
    <w:rsid w:val="0057653F"/>
    <w:rsid w:val="00587602"/>
    <w:rsid w:val="005A2329"/>
    <w:rsid w:val="005B537F"/>
    <w:rsid w:val="006022FF"/>
    <w:rsid w:val="006230D4"/>
    <w:rsid w:val="00624AAF"/>
    <w:rsid w:val="00630399"/>
    <w:rsid w:val="00666D0A"/>
    <w:rsid w:val="006B3BF7"/>
    <w:rsid w:val="006B51A6"/>
    <w:rsid w:val="006C4380"/>
    <w:rsid w:val="006E370C"/>
    <w:rsid w:val="006F7F6A"/>
    <w:rsid w:val="0071023D"/>
    <w:rsid w:val="0071577E"/>
    <w:rsid w:val="007240CA"/>
    <w:rsid w:val="007613F7"/>
    <w:rsid w:val="007B58CF"/>
    <w:rsid w:val="007C0A0D"/>
    <w:rsid w:val="007D68FA"/>
    <w:rsid w:val="007F18D8"/>
    <w:rsid w:val="00840FD9"/>
    <w:rsid w:val="00874B98"/>
    <w:rsid w:val="00884B47"/>
    <w:rsid w:val="008F3550"/>
    <w:rsid w:val="008F6304"/>
    <w:rsid w:val="00927DA8"/>
    <w:rsid w:val="009517E9"/>
    <w:rsid w:val="00993885"/>
    <w:rsid w:val="009C2863"/>
    <w:rsid w:val="009D11C3"/>
    <w:rsid w:val="009D4BA5"/>
    <w:rsid w:val="00A76139"/>
    <w:rsid w:val="00AA45CF"/>
    <w:rsid w:val="00AB67C3"/>
    <w:rsid w:val="00B00D73"/>
    <w:rsid w:val="00B32FC2"/>
    <w:rsid w:val="00B50F8A"/>
    <w:rsid w:val="00B72177"/>
    <w:rsid w:val="00B84677"/>
    <w:rsid w:val="00B964D7"/>
    <w:rsid w:val="00BB4B05"/>
    <w:rsid w:val="00BD450E"/>
    <w:rsid w:val="00BD62EB"/>
    <w:rsid w:val="00BD717E"/>
    <w:rsid w:val="00BF0B54"/>
    <w:rsid w:val="00C3370D"/>
    <w:rsid w:val="00C4520B"/>
    <w:rsid w:val="00C62BCC"/>
    <w:rsid w:val="00CB01E5"/>
    <w:rsid w:val="00CF0769"/>
    <w:rsid w:val="00D2418C"/>
    <w:rsid w:val="00D54CFA"/>
    <w:rsid w:val="00D7427C"/>
    <w:rsid w:val="00D85063"/>
    <w:rsid w:val="00DB2590"/>
    <w:rsid w:val="00DB7469"/>
    <w:rsid w:val="00DD185C"/>
    <w:rsid w:val="00E32611"/>
    <w:rsid w:val="00E32CAB"/>
    <w:rsid w:val="00E45A4F"/>
    <w:rsid w:val="00E47354"/>
    <w:rsid w:val="00E64EA7"/>
    <w:rsid w:val="00E80E14"/>
    <w:rsid w:val="00E81A03"/>
    <w:rsid w:val="00E967B0"/>
    <w:rsid w:val="00EC0706"/>
    <w:rsid w:val="00EE3A19"/>
    <w:rsid w:val="00EF18A8"/>
    <w:rsid w:val="00F11D28"/>
    <w:rsid w:val="00F47A84"/>
    <w:rsid w:val="00F96D2D"/>
    <w:rsid w:val="00FB35FB"/>
    <w:rsid w:val="00FB6F03"/>
    <w:rsid w:val="00FD3E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98308"/>
    <o:shapelayout v:ext="edit">
      <o:idmap v:ext="edit" data="1"/>
    </o:shapelayout>
  </w:shapeDefaults>
  <w:decimalSymbol w:val="."/>
  <w:listSeparator w:val=","/>
  <w14:docId w14:val="573A9ED0"/>
  <w15:docId w15:val="{68F50021-DA56-4A65-8E61-5C1D7E0F3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0828"/>
    <w:pPr>
      <w:spacing w:line="240" w:lineRule="auto"/>
      <w:jc w:val="both"/>
    </w:pPr>
    <w:rPr>
      <w:rFonts w:ascii="Arial" w:eastAsiaTheme="minorEastAsia" w:hAnsi="Arial"/>
      <w:sz w:val="20"/>
      <w:szCs w:val="20"/>
      <w:lang w:val="en-US" w:eastAsia="ja-JP"/>
    </w:rPr>
  </w:style>
  <w:style w:type="paragraph" w:styleId="Heading2">
    <w:name w:val="heading 2"/>
    <w:basedOn w:val="Normal"/>
    <w:next w:val="Normal"/>
    <w:link w:val="Heading2Char"/>
    <w:uiPriority w:val="9"/>
    <w:unhideWhenUsed/>
    <w:qFormat/>
    <w:rsid w:val="00057163"/>
    <w:pPr>
      <w:spacing w:after="0"/>
      <w:contextualSpacing/>
      <w:outlineLvl w:val="1"/>
    </w:pPr>
    <w:rPr>
      <w:rFonts w:cs="Arial"/>
      <w:b/>
      <w:sz w:val="24"/>
      <w:lang w:val="en-GB" w:eastAsia="en-US"/>
    </w:rPr>
  </w:style>
  <w:style w:type="paragraph" w:styleId="Heading3">
    <w:name w:val="heading 3"/>
    <w:basedOn w:val="TitleV5"/>
    <w:next w:val="Normal"/>
    <w:link w:val="Heading3Char"/>
    <w:uiPriority w:val="9"/>
    <w:unhideWhenUsed/>
    <w:qFormat/>
    <w:rsid w:val="00057163"/>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4E29D7"/>
    <w:rPr>
      <w:b/>
      <w:sz w:val="22"/>
      <w:szCs w:val="22"/>
    </w:rPr>
  </w:style>
  <w:style w:type="character" w:customStyle="1" w:styleId="Heading2Char">
    <w:name w:val="Heading 2 Char"/>
    <w:basedOn w:val="DefaultParagraphFont"/>
    <w:link w:val="Heading2"/>
    <w:uiPriority w:val="9"/>
    <w:rsid w:val="00057163"/>
    <w:rPr>
      <w:rFonts w:ascii="Arial" w:eastAsiaTheme="minorEastAsia" w:hAnsi="Arial" w:cs="Arial"/>
      <w:b/>
      <w:sz w:val="24"/>
      <w:szCs w:val="20"/>
    </w:rPr>
  </w:style>
  <w:style w:type="character" w:customStyle="1" w:styleId="Heading3Char">
    <w:name w:val="Heading 3 Char"/>
    <w:basedOn w:val="DefaultParagraphFont"/>
    <w:link w:val="Heading3"/>
    <w:uiPriority w:val="9"/>
    <w:rsid w:val="00057163"/>
    <w:rPr>
      <w:rFonts w:ascii="Arial" w:eastAsia="Times New Roman" w:hAnsi="Arial" w:cs="Arial"/>
      <w:b/>
      <w:sz w:val="20"/>
      <w:szCs w:val="20"/>
      <w:lang w:eastAsia="en-GB"/>
    </w:rPr>
  </w:style>
  <w:style w:type="paragraph" w:customStyle="1" w:styleId="TitleV5">
    <w:name w:val="Title V5"/>
    <w:basedOn w:val="Normal"/>
    <w:next w:val="Normal"/>
    <w:qFormat/>
    <w:rsid w:val="00057163"/>
    <w:pPr>
      <w:numPr>
        <w:ilvl w:val="1"/>
        <w:numId w:val="1"/>
      </w:numPr>
      <w:spacing w:after="0"/>
      <w:ind w:left="858"/>
    </w:pPr>
    <w:rPr>
      <w:rFonts w:eastAsia="Times New Roman" w:cs="Arial"/>
      <w:b/>
      <w:lang w:val="en-GB" w:eastAsia="en-GB"/>
    </w:rPr>
  </w:style>
  <w:style w:type="table" w:styleId="TableGrid">
    <w:name w:val="Table Grid"/>
    <w:basedOn w:val="TableNormal"/>
    <w:uiPriority w:val="59"/>
    <w:rsid w:val="00057163"/>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F5 List Paragraph,List Paragraph1,Dot pt,No Spacing1,List Paragraph Char Char Char,Indicator Text,Colorful List - Accent 11,Numbered Para 1,Bullet 1,Bullet Points,MAIN CONTENT,List Paragraph12,Bullet Style,List Paragraph2,Normal numbered"/>
    <w:basedOn w:val="Normal"/>
    <w:link w:val="ListParagraphChar"/>
    <w:uiPriority w:val="34"/>
    <w:qFormat/>
    <w:rsid w:val="00057163"/>
    <w:pPr>
      <w:spacing w:after="0"/>
      <w:contextualSpacing/>
    </w:pPr>
    <w:rPr>
      <w:rFonts w:eastAsia="Calibri" w:cs="Arial"/>
      <w:lang w:val="en-GB" w:eastAsia="en-US"/>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link w:val="ListParagraph"/>
    <w:uiPriority w:val="34"/>
    <w:qFormat/>
    <w:locked/>
    <w:rsid w:val="00057163"/>
    <w:rPr>
      <w:rFonts w:ascii="Arial" w:eastAsia="Calibri" w:hAnsi="Arial" w:cs="Arial"/>
      <w:sz w:val="20"/>
      <w:szCs w:val="20"/>
    </w:rPr>
  </w:style>
  <w:style w:type="paragraph" w:styleId="Header">
    <w:name w:val="header"/>
    <w:basedOn w:val="Normal"/>
    <w:link w:val="HeaderChar"/>
    <w:uiPriority w:val="99"/>
    <w:unhideWhenUsed/>
    <w:rsid w:val="00524D54"/>
    <w:pPr>
      <w:tabs>
        <w:tab w:val="center" w:pos="4513"/>
        <w:tab w:val="right" w:pos="9026"/>
      </w:tabs>
      <w:spacing w:after="0"/>
    </w:pPr>
  </w:style>
  <w:style w:type="character" w:customStyle="1" w:styleId="HeaderChar">
    <w:name w:val="Header Char"/>
    <w:basedOn w:val="DefaultParagraphFont"/>
    <w:link w:val="Header"/>
    <w:uiPriority w:val="99"/>
    <w:rsid w:val="00524D54"/>
    <w:rPr>
      <w:rFonts w:ascii="Arial" w:eastAsiaTheme="minorEastAsia" w:hAnsi="Arial"/>
      <w:sz w:val="20"/>
      <w:szCs w:val="20"/>
      <w:lang w:val="en-US" w:eastAsia="ja-JP"/>
    </w:rPr>
  </w:style>
  <w:style w:type="paragraph" w:styleId="Footer">
    <w:name w:val="footer"/>
    <w:basedOn w:val="Normal"/>
    <w:link w:val="FooterChar"/>
    <w:uiPriority w:val="99"/>
    <w:unhideWhenUsed/>
    <w:rsid w:val="00524D54"/>
    <w:pPr>
      <w:tabs>
        <w:tab w:val="center" w:pos="4513"/>
        <w:tab w:val="right" w:pos="9026"/>
      </w:tabs>
      <w:spacing w:after="0"/>
    </w:pPr>
  </w:style>
  <w:style w:type="character" w:customStyle="1" w:styleId="FooterChar">
    <w:name w:val="Footer Char"/>
    <w:basedOn w:val="DefaultParagraphFont"/>
    <w:link w:val="Footer"/>
    <w:uiPriority w:val="99"/>
    <w:rsid w:val="00524D54"/>
    <w:rPr>
      <w:rFonts w:ascii="Arial" w:eastAsiaTheme="minorEastAsia" w:hAnsi="Arial"/>
      <w:sz w:val="20"/>
      <w:szCs w:val="20"/>
      <w:lang w:val="en-US" w:eastAsia="ja-JP"/>
    </w:rPr>
  </w:style>
  <w:style w:type="paragraph" w:styleId="BalloonText">
    <w:name w:val="Balloon Text"/>
    <w:basedOn w:val="Normal"/>
    <w:link w:val="BalloonTextChar"/>
    <w:uiPriority w:val="99"/>
    <w:semiHidden/>
    <w:unhideWhenUsed/>
    <w:rsid w:val="007613F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13F7"/>
    <w:rPr>
      <w:rFonts w:ascii="Tahoma" w:eastAsiaTheme="minorEastAsia" w:hAnsi="Tahoma" w:cs="Tahoma"/>
      <w:sz w:val="16"/>
      <w:szCs w:val="16"/>
      <w:lang w:val="en-US" w:eastAsia="ja-JP"/>
    </w:rPr>
  </w:style>
  <w:style w:type="character" w:styleId="CommentReference">
    <w:name w:val="annotation reference"/>
    <w:basedOn w:val="DefaultParagraphFont"/>
    <w:uiPriority w:val="99"/>
    <w:semiHidden/>
    <w:unhideWhenUsed/>
    <w:rsid w:val="007613F7"/>
    <w:rPr>
      <w:sz w:val="16"/>
      <w:szCs w:val="16"/>
    </w:rPr>
  </w:style>
  <w:style w:type="paragraph" w:styleId="CommentText">
    <w:name w:val="annotation text"/>
    <w:basedOn w:val="Normal"/>
    <w:link w:val="CommentTextChar"/>
    <w:uiPriority w:val="99"/>
    <w:semiHidden/>
    <w:unhideWhenUsed/>
    <w:rsid w:val="007613F7"/>
  </w:style>
  <w:style w:type="character" w:customStyle="1" w:styleId="CommentTextChar">
    <w:name w:val="Comment Text Char"/>
    <w:basedOn w:val="DefaultParagraphFont"/>
    <w:link w:val="CommentText"/>
    <w:uiPriority w:val="99"/>
    <w:semiHidden/>
    <w:rsid w:val="007613F7"/>
    <w:rPr>
      <w:rFonts w:ascii="Arial" w:eastAsiaTheme="minorEastAsia" w:hAnsi="Arial"/>
      <w:sz w:val="20"/>
      <w:szCs w:val="20"/>
      <w:lang w:val="en-US" w:eastAsia="ja-JP"/>
    </w:rPr>
  </w:style>
  <w:style w:type="paragraph" w:styleId="CommentSubject">
    <w:name w:val="annotation subject"/>
    <w:basedOn w:val="CommentText"/>
    <w:next w:val="CommentText"/>
    <w:link w:val="CommentSubjectChar"/>
    <w:uiPriority w:val="99"/>
    <w:semiHidden/>
    <w:unhideWhenUsed/>
    <w:rsid w:val="007613F7"/>
    <w:rPr>
      <w:b/>
      <w:bCs/>
    </w:rPr>
  </w:style>
  <w:style w:type="character" w:customStyle="1" w:styleId="CommentSubjectChar">
    <w:name w:val="Comment Subject Char"/>
    <w:basedOn w:val="CommentTextChar"/>
    <w:link w:val="CommentSubject"/>
    <w:uiPriority w:val="99"/>
    <w:semiHidden/>
    <w:rsid w:val="007613F7"/>
    <w:rPr>
      <w:rFonts w:ascii="Arial" w:eastAsiaTheme="minorEastAsia" w:hAnsi="Arial"/>
      <w:b/>
      <w:bCs/>
      <w:sz w:val="20"/>
      <w:szCs w:val="20"/>
      <w:lang w:val="en-US" w:eastAsia="ja-JP"/>
    </w:rPr>
  </w:style>
  <w:style w:type="character" w:styleId="Hyperlink">
    <w:name w:val="Hyperlink"/>
    <w:basedOn w:val="DefaultParagraphFont"/>
    <w:uiPriority w:val="99"/>
    <w:unhideWhenUsed/>
    <w:rsid w:val="00EE3A19"/>
    <w:rPr>
      <w:color w:val="0000FF" w:themeColor="hyperlink"/>
      <w:u w:val="single"/>
    </w:rPr>
  </w:style>
  <w:style w:type="paragraph" w:customStyle="1" w:styleId="Tabletext">
    <w:name w:val="Table text"/>
    <w:basedOn w:val="Normal"/>
    <w:rsid w:val="00E32CAB"/>
    <w:pPr>
      <w:keepNext/>
      <w:spacing w:after="60"/>
      <w:jc w:val="left"/>
    </w:pPr>
    <w:rPr>
      <w:rFonts w:eastAsia="Times New Roman" w:cs="Times New Roman"/>
      <w:sz w:val="22"/>
      <w:szCs w:val="24"/>
      <w:lang w:eastAsia="en-US"/>
    </w:rPr>
  </w:style>
  <w:style w:type="paragraph" w:styleId="NoSpacing">
    <w:name w:val="No Spacing"/>
    <w:uiPriority w:val="1"/>
    <w:qFormat/>
    <w:rsid w:val="00D2418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1578310">
      <w:bodyDiv w:val="1"/>
      <w:marLeft w:val="0"/>
      <w:marRight w:val="0"/>
      <w:marTop w:val="0"/>
      <w:marBottom w:val="0"/>
      <w:divBdr>
        <w:top w:val="none" w:sz="0" w:space="0" w:color="auto"/>
        <w:left w:val="none" w:sz="0" w:space="0" w:color="auto"/>
        <w:bottom w:val="none" w:sz="0" w:space="0" w:color="auto"/>
        <w:right w:val="none" w:sz="0" w:space="0" w:color="auto"/>
      </w:divBdr>
    </w:div>
    <w:div w:id="634800813">
      <w:bodyDiv w:val="1"/>
      <w:marLeft w:val="0"/>
      <w:marRight w:val="0"/>
      <w:marTop w:val="0"/>
      <w:marBottom w:val="0"/>
      <w:divBdr>
        <w:top w:val="none" w:sz="0" w:space="0" w:color="auto"/>
        <w:left w:val="none" w:sz="0" w:space="0" w:color="auto"/>
        <w:bottom w:val="none" w:sz="0" w:space="0" w:color="auto"/>
        <w:right w:val="none" w:sz="0" w:space="0" w:color="auto"/>
      </w:divBdr>
    </w:div>
    <w:div w:id="661855011">
      <w:bodyDiv w:val="1"/>
      <w:marLeft w:val="0"/>
      <w:marRight w:val="0"/>
      <w:marTop w:val="0"/>
      <w:marBottom w:val="0"/>
      <w:divBdr>
        <w:top w:val="none" w:sz="0" w:space="0" w:color="auto"/>
        <w:left w:val="none" w:sz="0" w:space="0" w:color="auto"/>
        <w:bottom w:val="none" w:sz="0" w:space="0" w:color="auto"/>
        <w:right w:val="none" w:sz="0" w:space="0" w:color="auto"/>
      </w:divBdr>
    </w:div>
    <w:div w:id="1009260002">
      <w:bodyDiv w:val="1"/>
      <w:marLeft w:val="0"/>
      <w:marRight w:val="0"/>
      <w:marTop w:val="0"/>
      <w:marBottom w:val="0"/>
      <w:divBdr>
        <w:top w:val="none" w:sz="0" w:space="0" w:color="auto"/>
        <w:left w:val="none" w:sz="0" w:space="0" w:color="auto"/>
        <w:bottom w:val="none" w:sz="0" w:space="0" w:color="auto"/>
        <w:right w:val="none" w:sz="0" w:space="0" w:color="auto"/>
      </w:divBdr>
    </w:div>
    <w:div w:id="1109350554">
      <w:bodyDiv w:val="1"/>
      <w:marLeft w:val="0"/>
      <w:marRight w:val="0"/>
      <w:marTop w:val="0"/>
      <w:marBottom w:val="0"/>
      <w:divBdr>
        <w:top w:val="none" w:sz="0" w:space="0" w:color="auto"/>
        <w:left w:val="none" w:sz="0" w:space="0" w:color="auto"/>
        <w:bottom w:val="none" w:sz="0" w:space="0" w:color="auto"/>
        <w:right w:val="none" w:sz="0" w:space="0" w:color="auto"/>
      </w:divBdr>
    </w:div>
    <w:div w:id="1446080490">
      <w:bodyDiv w:val="1"/>
      <w:marLeft w:val="0"/>
      <w:marRight w:val="0"/>
      <w:marTop w:val="0"/>
      <w:marBottom w:val="0"/>
      <w:divBdr>
        <w:top w:val="none" w:sz="0" w:space="0" w:color="auto"/>
        <w:left w:val="none" w:sz="0" w:space="0" w:color="auto"/>
        <w:bottom w:val="none" w:sz="0" w:space="0" w:color="auto"/>
        <w:right w:val="none" w:sz="0" w:space="0" w:color="auto"/>
      </w:divBdr>
    </w:div>
    <w:div w:id="1631938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ppe.ac.uk/services/declaration-of-competenc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ppe.ac.uk/programmes/l/minor2-a-10"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cppe.ac.uk/programmes/l?t=RespMin-P-03&amp;evid=45133" TargetMode="External"/><Relationship Id="rId4" Type="http://schemas.openxmlformats.org/officeDocument/2006/relationships/settings" Target="settings.xml"/><Relationship Id="rId9" Type="http://schemas.openxmlformats.org/officeDocument/2006/relationships/image" Target="cid:image001.png@01D5ED78.C53FF860"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407703-16DC-40C8-AA2B-6CF2C37E4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7</Pages>
  <Words>2608</Words>
  <Characters>14866</Characters>
  <Application>Microsoft Office Word</Application>
  <DocSecurity>4</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Isle of Wight NHS</Company>
  <LinksUpToDate>false</LinksUpToDate>
  <CharactersWithSpaces>17440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Allen</dc:creator>
  <cp:lastModifiedBy>Alison Freemantle</cp:lastModifiedBy>
  <cp:revision>2</cp:revision>
  <cp:lastPrinted>2020-03-02T15:14:00Z</cp:lastPrinted>
  <dcterms:created xsi:type="dcterms:W3CDTF">2020-03-20T10:19:00Z</dcterms:created>
  <dcterms:modified xsi:type="dcterms:W3CDTF">2020-03-20T10:19:00Z</dcterms:modified>
</cp:coreProperties>
</file>