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0EEA8620" w14:textId="7E06A8D9" w:rsidR="00745865" w:rsidRPr="00074984" w:rsidRDefault="00745865" w:rsidP="00745865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szCs w:val="28"/>
              </w:rPr>
              <w:t>Hampshire and Isle of Wight ICB (</w:t>
            </w:r>
            <w:r>
              <w:rPr>
                <w:szCs w:val="28"/>
              </w:rPr>
              <w:t>Portsmouth</w:t>
            </w:r>
            <w:r>
              <w:rPr>
                <w:szCs w:val="28"/>
              </w:rPr>
              <w:t>)</w:t>
            </w:r>
          </w:p>
          <w:p w14:paraId="4020410F" w14:textId="00D236DA" w:rsidR="00745865" w:rsidRDefault="00745865" w:rsidP="00745865">
            <w:pPr>
              <w:widowControl w:val="0"/>
              <w:spacing w:line="226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Pharmacy First M</w:t>
            </w:r>
            <w:r>
              <w:rPr>
                <w:rFonts w:ascii="Arial" w:eastAsia="Arial" w:hAnsi="Arial" w:cs="Arial"/>
                <w:spacing w:val="-2"/>
                <w:sz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</w:rPr>
              <w:t>n</w:t>
            </w:r>
            <w:r>
              <w:rPr>
                <w:rFonts w:ascii="Arial" w:eastAsia="Arial" w:hAnsi="Arial" w:cs="Arial"/>
                <w:sz w:val="20"/>
              </w:rPr>
              <w:t>or</w:t>
            </w:r>
            <w:r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</w:rPr>
              <w:t>il</w:t>
            </w:r>
            <w:r>
              <w:rPr>
                <w:rFonts w:ascii="Arial" w:eastAsia="Arial" w:hAnsi="Arial" w:cs="Arial"/>
                <w:spacing w:val="4"/>
                <w:sz w:val="20"/>
              </w:rPr>
              <w:t>m</w:t>
            </w:r>
            <w:r>
              <w:rPr>
                <w:rFonts w:ascii="Arial" w:eastAsia="Arial" w:hAnsi="Arial" w:cs="Arial"/>
                <w:sz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</w:rPr>
              <w:t>n</w:t>
            </w:r>
            <w:r>
              <w:rPr>
                <w:rFonts w:ascii="Arial" w:eastAsia="Arial" w:hAnsi="Arial" w:cs="Arial"/>
                <w:sz w:val="20"/>
              </w:rPr>
              <w:t>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</w:rPr>
              <w:t>S</w:t>
            </w:r>
            <w:r>
              <w:rPr>
                <w:rFonts w:ascii="Arial" w:eastAsia="Arial" w:hAnsi="Arial" w:cs="Arial"/>
                <w:sz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</w:rPr>
              <w:t>c</w:t>
            </w:r>
            <w:r>
              <w:rPr>
                <w:rFonts w:ascii="Arial" w:eastAsia="Arial" w:hAnsi="Arial" w:cs="Arial"/>
                <w:sz w:val="20"/>
              </w:rPr>
              <w:t>e</w:t>
            </w:r>
          </w:p>
          <w:p w14:paraId="694596D0" w14:textId="04720268" w:rsidR="00742AAF" w:rsidRDefault="00742AAF" w:rsidP="00745865">
            <w:pPr>
              <w:rPr>
                <w:szCs w:val="28"/>
              </w:rPr>
            </w:pP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742AAF">
        <w:trPr>
          <w:trHeight w:val="575"/>
        </w:trPr>
        <w:tc>
          <w:tcPr>
            <w:tcW w:w="8217" w:type="dxa"/>
            <w:gridSpan w:val="4"/>
            <w:shd w:val="clear" w:color="auto" w:fill="FFC00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FC00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4FD9DA45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742AAF">
              <w:rPr>
                <w:szCs w:val="28"/>
              </w:rPr>
              <w:t>Amber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A7F84CB" w14:textId="77777777" w:rsidR="00045F43" w:rsidRDefault="002C5CD6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Delivery fee needs to be </w:t>
            </w:r>
            <w:proofErr w:type="gramStart"/>
            <w:r>
              <w:rPr>
                <w:szCs w:val="28"/>
              </w:rPr>
              <w:t>reviewed</w:t>
            </w:r>
            <w:proofErr w:type="gramEnd"/>
          </w:p>
          <w:p w14:paraId="10F7CC96" w14:textId="277AC571" w:rsidR="0094001F" w:rsidRPr="0073541F" w:rsidRDefault="0094001F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Contract length only 1 year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Commissioners</w:t>
            </w:r>
            <w:proofErr w:type="gramEnd"/>
            <w:r>
              <w:rPr>
                <w:b/>
                <w:sz w:val="28"/>
                <w:szCs w:val="28"/>
              </w:rPr>
              <w:t xml:space="preserve">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2C5CD6">
        <w:trPr>
          <w:trHeight w:val="2684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07581C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19106D43" w:rsidR="00045F43" w:rsidRDefault="0007581C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07581C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55DC7E25" w:rsidR="00045F43" w:rsidRDefault="0007581C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81C" w14:paraId="7CBA263C" w14:textId="4760491D" w:rsidTr="008267BA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7581C" w:rsidRDefault="0007581C" w:rsidP="0007581C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389B722" w14:textId="77777777" w:rsidR="0007581C" w:rsidRDefault="0007581C" w:rsidP="0007581C"/>
          <w:p w14:paraId="0708EEB4" w14:textId="05438D90" w:rsidR="0007581C" w:rsidRDefault="0007581C" w:rsidP="0007581C">
            <w:r>
              <w:t>No set up costs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7581C" w:rsidRDefault="0007581C" w:rsidP="0007581C"/>
        </w:tc>
      </w:tr>
      <w:tr w:rsidR="0007581C" w14:paraId="6A7452EE" w14:textId="683C8EE8" w:rsidTr="0007581C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7581C" w:rsidRDefault="0007581C" w:rsidP="0007581C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42C705FC" w14:textId="77777777" w:rsidR="0007581C" w:rsidRDefault="0007581C" w:rsidP="0007581C">
            <w:r>
              <w:t xml:space="preserve"> Yes</w:t>
            </w:r>
          </w:p>
          <w:p w14:paraId="683D670A" w14:textId="77777777" w:rsidR="0007581C" w:rsidRDefault="0007581C" w:rsidP="0007581C">
            <w:r>
              <w:t>Invoicing via PharmOutcomes</w:t>
            </w:r>
          </w:p>
          <w:p w14:paraId="6BBA7055" w14:textId="16A6EA50" w:rsidR="0007581C" w:rsidRDefault="0007581C" w:rsidP="0007581C">
            <w:r>
              <w:t>Payment is quarterly</w:t>
            </w:r>
          </w:p>
        </w:tc>
        <w:tc>
          <w:tcPr>
            <w:tcW w:w="799" w:type="dxa"/>
            <w:shd w:val="clear" w:color="auto" w:fill="FFC000"/>
          </w:tcPr>
          <w:p w14:paraId="76434B92" w14:textId="77777777" w:rsidR="0007581C" w:rsidRDefault="0007581C" w:rsidP="0007581C"/>
        </w:tc>
      </w:tr>
      <w:tr w:rsidR="0007581C" w14:paraId="217E4207" w14:textId="1813678C" w:rsidTr="008267BA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7581C" w:rsidRDefault="0007581C" w:rsidP="0007581C">
            <w:r>
              <w:t xml:space="preserve">Where </w:t>
            </w:r>
            <w:proofErr w:type="gramStart"/>
            <w:r>
              <w:t>equipment is</w:t>
            </w:r>
            <w:proofErr w:type="gramEnd"/>
            <w:r>
              <w:t xml:space="preserve">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1C77C652" w:rsidR="0007581C" w:rsidRDefault="0007581C" w:rsidP="0007581C">
            <w:r>
              <w:t>No equipment required for service provision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7581C" w:rsidRDefault="0007581C" w:rsidP="0007581C"/>
        </w:tc>
      </w:tr>
      <w:tr w:rsidR="0007581C" w14:paraId="24AC69E5" w14:textId="5F99B4C9" w:rsidTr="008267BA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7581C" w:rsidRDefault="0007581C" w:rsidP="0007581C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3556601C" w:rsidR="0007581C" w:rsidRDefault="008267BA" w:rsidP="0007581C">
            <w:r>
              <w:t>No uplift in fee from last year’s contract.</w:t>
            </w:r>
          </w:p>
          <w:p w14:paraId="350BE712" w14:textId="65797198" w:rsidR="0007581C" w:rsidRDefault="0007581C" w:rsidP="0007581C"/>
        </w:tc>
        <w:tc>
          <w:tcPr>
            <w:tcW w:w="799" w:type="dxa"/>
            <w:shd w:val="clear" w:color="auto" w:fill="FFC000"/>
          </w:tcPr>
          <w:p w14:paraId="26B96ACC" w14:textId="77777777" w:rsidR="0007581C" w:rsidRDefault="0007581C" w:rsidP="0007581C"/>
        </w:tc>
      </w:tr>
      <w:tr w:rsidR="0007581C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7581C" w:rsidRDefault="0007581C" w:rsidP="0007581C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7581C" w:rsidRPr="0053198F" w:rsidRDefault="0007581C" w:rsidP="000758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7581C" w:rsidRDefault="0007581C" w:rsidP="000758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81C" w14:paraId="4477199B" w14:textId="6E305339" w:rsidTr="008267BA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7581C" w:rsidRDefault="0007581C" w:rsidP="0007581C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71502172" w:rsidR="0007581C" w:rsidRDefault="008267BA" w:rsidP="0007581C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7581C" w:rsidRDefault="0007581C" w:rsidP="0007581C"/>
        </w:tc>
      </w:tr>
      <w:tr w:rsidR="0007581C" w14:paraId="5B62E8E4" w14:textId="597D134F" w:rsidTr="008267BA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7581C" w:rsidRDefault="0007581C" w:rsidP="0007581C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0A389E9E" w:rsidR="0007581C" w:rsidRDefault="008267BA" w:rsidP="0007581C">
            <w:r>
              <w:t>1</w:t>
            </w:r>
            <w:r w:rsidRPr="008267BA">
              <w:rPr>
                <w:vertAlign w:val="superscript"/>
              </w:rPr>
              <w:t>st</w:t>
            </w:r>
            <w:r>
              <w:t xml:space="preserve"> April 2023 – 31</w:t>
            </w:r>
            <w:r w:rsidRPr="008267BA">
              <w:rPr>
                <w:vertAlign w:val="superscript"/>
              </w:rPr>
              <w:t>st</w:t>
            </w:r>
            <w:r>
              <w:t xml:space="preserve"> March 2024</w:t>
            </w:r>
          </w:p>
        </w:tc>
        <w:tc>
          <w:tcPr>
            <w:tcW w:w="799" w:type="dxa"/>
            <w:shd w:val="clear" w:color="auto" w:fill="FFC000"/>
          </w:tcPr>
          <w:p w14:paraId="2E5AA34E" w14:textId="77777777" w:rsidR="0007581C" w:rsidRDefault="0007581C" w:rsidP="0007581C"/>
        </w:tc>
      </w:tr>
      <w:tr w:rsidR="0007581C" w14:paraId="16A74219" w14:textId="68E13121" w:rsidTr="009163F2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07581C" w:rsidRDefault="0007581C" w:rsidP="0007581C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019ACF1C" w14:textId="77777777" w:rsidR="008F7E00" w:rsidRDefault="008F7E00" w:rsidP="008F7E00">
            <w:r>
              <w:t>Yes</w:t>
            </w:r>
          </w:p>
          <w:p w14:paraId="2B0812CE" w14:textId="77777777" w:rsidR="008F7E00" w:rsidRDefault="008F7E00" w:rsidP="008F7E00">
            <w:r>
              <w:t>Service is available to Portsmouth residents (</w:t>
            </w:r>
            <w:r w:rsidRPr="008C69E4">
              <w:t>PO1 to PO6) or who are registered with a Portsmouth GP</w:t>
            </w:r>
            <w:r>
              <w:t xml:space="preserve"> </w:t>
            </w:r>
          </w:p>
          <w:p w14:paraId="6FC63410" w14:textId="77777777" w:rsidR="008F7E00" w:rsidRDefault="008F7E00" w:rsidP="008F7E00">
            <w:r>
              <w:t>AND</w:t>
            </w:r>
          </w:p>
          <w:p w14:paraId="2A8A4C8B" w14:textId="4C49D4AA" w:rsidR="0007581C" w:rsidRDefault="008F7E00" w:rsidP="008F7E00">
            <w:r>
              <w:t>Claim prescription exemption for low income.</w:t>
            </w:r>
          </w:p>
        </w:tc>
        <w:tc>
          <w:tcPr>
            <w:tcW w:w="799" w:type="dxa"/>
            <w:shd w:val="clear" w:color="auto" w:fill="auto"/>
          </w:tcPr>
          <w:p w14:paraId="2226A15F" w14:textId="77777777" w:rsidR="0007581C" w:rsidRDefault="0007581C" w:rsidP="0007581C"/>
        </w:tc>
      </w:tr>
      <w:tr w:rsidR="0007581C" w14:paraId="5B9C68F9" w14:textId="070B8EDC" w:rsidTr="009163F2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07581C" w:rsidRDefault="0007581C" w:rsidP="0007581C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D47971B" w14:textId="77777777" w:rsidR="00E1384A" w:rsidRDefault="00E1384A" w:rsidP="00E1384A">
            <w:r>
              <w:t>Yes</w:t>
            </w:r>
          </w:p>
          <w:p w14:paraId="62F7E86C" w14:textId="36EB3466" w:rsidR="0007581C" w:rsidRDefault="00E1384A" w:rsidP="00E1384A">
            <w:r>
              <w:lastRenderedPageBreak/>
              <w:t xml:space="preserve">Service has already been delivered and </w:t>
            </w:r>
            <w:r>
              <w:t>previous</w:t>
            </w:r>
            <w:r>
              <w:t xml:space="preserve"> evaluation has shown significant benefit to patient and </w:t>
            </w:r>
            <w:r>
              <w:t>ICB</w:t>
            </w:r>
            <w:r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617447D7" w14:textId="77777777" w:rsidR="0007581C" w:rsidRDefault="0007581C" w:rsidP="0007581C"/>
        </w:tc>
      </w:tr>
      <w:tr w:rsidR="0007581C" w14:paraId="125299A8" w14:textId="5B3F2407" w:rsidTr="009163F2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07581C" w:rsidRDefault="0007581C" w:rsidP="0007581C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144B83DB" w14:textId="77777777" w:rsidR="0007581C" w:rsidRDefault="00A14F45" w:rsidP="0007581C">
            <w:r>
              <w:t>Monitoring of</w:t>
            </w:r>
            <w:r>
              <w:t xml:space="preserve"> performance </w:t>
            </w:r>
            <w:r>
              <w:t>via PharmOutcomes data.</w:t>
            </w:r>
          </w:p>
          <w:p w14:paraId="58F56E13" w14:textId="77777777" w:rsidR="00A14F45" w:rsidRDefault="00A14F45" w:rsidP="0007581C"/>
          <w:p w14:paraId="71562EE9" w14:textId="5FF1C3E7" w:rsidR="00A14F45" w:rsidRDefault="00A14F45" w:rsidP="0007581C">
            <w:r>
              <w:t>No termination clause in service spec.</w:t>
            </w:r>
          </w:p>
        </w:tc>
        <w:tc>
          <w:tcPr>
            <w:tcW w:w="799" w:type="dxa"/>
            <w:shd w:val="clear" w:color="auto" w:fill="auto"/>
          </w:tcPr>
          <w:p w14:paraId="205616B6" w14:textId="77777777" w:rsidR="0007581C" w:rsidRDefault="0007581C" w:rsidP="0007581C"/>
        </w:tc>
      </w:tr>
      <w:tr w:rsidR="0007581C" w14:paraId="2FF73E44" w14:textId="375D1898" w:rsidTr="009163F2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07581C" w:rsidRDefault="0007581C" w:rsidP="0007581C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5F21957F" w14:textId="77777777" w:rsidR="0007581C" w:rsidRDefault="00A14F45" w:rsidP="0007581C">
            <w:r>
              <w:t>Yes</w:t>
            </w:r>
          </w:p>
          <w:p w14:paraId="1DF7369F" w14:textId="7D929513" w:rsidR="00A14F45" w:rsidRDefault="00ED31DD" w:rsidP="0007581C">
            <w:r>
              <w:t>Other HCPs will be encouraged to refer patients for minor ailments</w:t>
            </w:r>
            <w:r>
              <w:t xml:space="preserve"> by the ICB.</w:t>
            </w:r>
          </w:p>
        </w:tc>
        <w:tc>
          <w:tcPr>
            <w:tcW w:w="799" w:type="dxa"/>
            <w:shd w:val="clear" w:color="auto" w:fill="auto"/>
          </w:tcPr>
          <w:p w14:paraId="09855670" w14:textId="77777777" w:rsidR="0007581C" w:rsidRDefault="0007581C" w:rsidP="0007581C"/>
        </w:tc>
      </w:tr>
      <w:tr w:rsidR="0007581C" w14:paraId="0FE6FE36" w14:textId="77777777" w:rsidTr="009163F2">
        <w:trPr>
          <w:trHeight w:val="284"/>
        </w:trPr>
        <w:tc>
          <w:tcPr>
            <w:tcW w:w="2733" w:type="dxa"/>
            <w:gridSpan w:val="3"/>
            <w:vAlign w:val="center"/>
          </w:tcPr>
          <w:p w14:paraId="5AB78A63" w14:textId="30581BCF" w:rsidR="0007581C" w:rsidRDefault="0007581C" w:rsidP="0007581C">
            <w:r>
              <w:t>Equality, diversity, and inclusion considered?</w:t>
            </w:r>
          </w:p>
        </w:tc>
        <w:tc>
          <w:tcPr>
            <w:tcW w:w="5484" w:type="dxa"/>
            <w:shd w:val="clear" w:color="auto" w:fill="auto"/>
          </w:tcPr>
          <w:p w14:paraId="4E44CEA8" w14:textId="74521FF4" w:rsidR="0007581C" w:rsidRDefault="009D2EF0" w:rsidP="0007581C">
            <w:r>
              <w:t>Available to all Portsmouth P</w:t>
            </w:r>
            <w:r w:rsidR="000350AA">
              <w:t xml:space="preserve">harmacies to participate. Service restricted to </w:t>
            </w:r>
            <w:proofErr w:type="gramStart"/>
            <w:r w:rsidR="000350AA">
              <w:t>low income</w:t>
            </w:r>
            <w:proofErr w:type="gramEnd"/>
            <w:r w:rsidR="000350AA">
              <w:t xml:space="preserve"> population.</w:t>
            </w:r>
          </w:p>
        </w:tc>
        <w:tc>
          <w:tcPr>
            <w:tcW w:w="799" w:type="dxa"/>
            <w:shd w:val="clear" w:color="auto" w:fill="auto"/>
          </w:tcPr>
          <w:p w14:paraId="40B8E2F1" w14:textId="77777777" w:rsidR="0007581C" w:rsidRDefault="0007581C" w:rsidP="0007581C"/>
        </w:tc>
      </w:tr>
      <w:tr w:rsidR="0007581C" w14:paraId="0663853B" w14:textId="5B49B9CC" w:rsidTr="009163F2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07581C" w:rsidRDefault="0007581C" w:rsidP="0007581C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2620E5C4" w:rsidR="0007581C" w:rsidRDefault="009D2EF0" w:rsidP="0007581C">
            <w:r>
              <w:t>Yes</w:t>
            </w:r>
          </w:p>
        </w:tc>
        <w:tc>
          <w:tcPr>
            <w:tcW w:w="799" w:type="dxa"/>
            <w:shd w:val="clear" w:color="auto" w:fill="auto"/>
          </w:tcPr>
          <w:p w14:paraId="36699B1B" w14:textId="77777777" w:rsidR="0007581C" w:rsidRDefault="0007581C" w:rsidP="0007581C"/>
        </w:tc>
      </w:tr>
      <w:tr w:rsidR="0007581C" w14:paraId="3E4D7843" w14:textId="7703C887" w:rsidTr="009163F2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07581C" w:rsidRDefault="0007581C" w:rsidP="0007581C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00811B2C" w:rsidR="0007581C" w:rsidRDefault="000350AA" w:rsidP="0007581C">
            <w:r>
              <w:t>Yes</w:t>
            </w:r>
          </w:p>
        </w:tc>
        <w:tc>
          <w:tcPr>
            <w:tcW w:w="799" w:type="dxa"/>
            <w:shd w:val="clear" w:color="auto" w:fill="auto"/>
          </w:tcPr>
          <w:p w14:paraId="6730DB4D" w14:textId="77777777" w:rsidR="0007581C" w:rsidRDefault="0007581C" w:rsidP="0007581C"/>
        </w:tc>
      </w:tr>
      <w:tr w:rsidR="0007581C" w14:paraId="2F208423" w14:textId="5D45183A" w:rsidTr="00045F43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07581C" w:rsidRDefault="0007581C" w:rsidP="0007581C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7D9097E7" w14:textId="175AAE3C" w:rsidR="0007581C" w:rsidRDefault="00D81EB5" w:rsidP="0007581C">
            <w:r>
              <w:t>Pharmacies may be asked to participate in an audit</w:t>
            </w:r>
            <w:r w:rsidR="008D443F">
              <w:t xml:space="preserve"> that has been agreed with the LPC.</w:t>
            </w:r>
          </w:p>
        </w:tc>
        <w:tc>
          <w:tcPr>
            <w:tcW w:w="799" w:type="dxa"/>
          </w:tcPr>
          <w:p w14:paraId="3EBF5139" w14:textId="77777777" w:rsidR="0007581C" w:rsidRDefault="0007581C" w:rsidP="0007581C"/>
        </w:tc>
      </w:tr>
      <w:tr w:rsidR="0007581C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07581C" w:rsidRDefault="0007581C" w:rsidP="0007581C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07581C" w:rsidRPr="0053198F" w:rsidRDefault="0007581C" w:rsidP="0007581C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07581C" w:rsidRPr="0053198F" w:rsidRDefault="0007581C" w:rsidP="000758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0FF7" w14:paraId="67E7670C" w14:textId="4B7895D5" w:rsidTr="00045F43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8E0FF7" w:rsidRDefault="008E0FF7" w:rsidP="008E0FF7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4AA339B4" w14:textId="77777777" w:rsidR="008E0FF7" w:rsidRDefault="008E0FF7" w:rsidP="008E0FF7">
            <w:r>
              <w:t>Yes</w:t>
            </w:r>
          </w:p>
          <w:p w14:paraId="53A479F4" w14:textId="192B46AC" w:rsidR="008E0FF7" w:rsidRDefault="008E0FF7" w:rsidP="008E0FF7"/>
        </w:tc>
        <w:tc>
          <w:tcPr>
            <w:tcW w:w="799" w:type="dxa"/>
            <w:tcBorders>
              <w:bottom w:val="single" w:sz="4" w:space="0" w:color="auto"/>
            </w:tcBorders>
          </w:tcPr>
          <w:p w14:paraId="6C18E46B" w14:textId="77777777" w:rsidR="008E0FF7" w:rsidRDefault="008E0FF7" w:rsidP="008E0FF7"/>
        </w:tc>
      </w:tr>
      <w:tr w:rsidR="008E0FF7" w14:paraId="63C6D57B" w14:textId="778BB591" w:rsidTr="00045F43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8E0FF7" w:rsidRDefault="008E0FF7" w:rsidP="008E0FF7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72E978A4" w:rsidR="008E0FF7" w:rsidRDefault="008E0FF7" w:rsidP="008E0FF7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45C16D58" w14:textId="77777777" w:rsidR="008E0FF7" w:rsidRDefault="008E0FF7" w:rsidP="008E0FF7"/>
        </w:tc>
      </w:tr>
      <w:tr w:rsidR="008E0FF7" w14:paraId="7D161ADB" w14:textId="70A1118C" w:rsidTr="009163F2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8E0FF7" w:rsidRDefault="008E0FF7" w:rsidP="008E0FF7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01C62C02" w:rsidR="008E0FF7" w:rsidRDefault="008E0FF7" w:rsidP="008E0FF7">
            <w:r>
              <w:t>Yes, 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6E2B1301" w14:textId="77777777" w:rsidR="008E0FF7" w:rsidRDefault="008E0FF7" w:rsidP="008E0FF7"/>
        </w:tc>
      </w:tr>
      <w:tr w:rsidR="008E0FF7" w14:paraId="0A0C87A0" w14:textId="374D2E97" w:rsidTr="00045F43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8E0FF7" w:rsidRDefault="008E0FF7" w:rsidP="008E0FF7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2A930917" w14:textId="77777777" w:rsidR="008E0FF7" w:rsidRDefault="008E0FF7" w:rsidP="008E0FF7">
            <w:r>
              <w:t xml:space="preserve">Training is a recommendation </w:t>
            </w:r>
            <w:proofErr w:type="gramStart"/>
            <w:r>
              <w:t>only</w:t>
            </w:r>
            <w:proofErr w:type="gramEnd"/>
          </w:p>
          <w:p w14:paraId="65D09252" w14:textId="77777777" w:rsidR="008E0FF7" w:rsidRPr="00526419" w:rsidRDefault="008E0FF7" w:rsidP="008E0FF7">
            <w:pPr>
              <w:jc w:val="both"/>
            </w:pPr>
            <w:r w:rsidRPr="00526419">
              <w:t xml:space="preserve">CPPE resources at </w:t>
            </w:r>
            <w:hyperlink r:id="rId9" w:history="1">
              <w:r w:rsidRPr="00526419">
                <w:t>https://www.cppe.ac.uk/gateway/minor</w:t>
              </w:r>
            </w:hyperlink>
          </w:p>
          <w:p w14:paraId="0D8A31E7" w14:textId="77777777" w:rsidR="008E0FF7" w:rsidRDefault="008E0FF7" w:rsidP="008E0FF7"/>
          <w:p w14:paraId="32874270" w14:textId="09A923CB" w:rsidR="008E0FF7" w:rsidRDefault="008E0FF7" w:rsidP="008E0FF7">
            <w:r>
              <w:t>A</w:t>
            </w:r>
            <w:r w:rsidRPr="00526419">
              <w:t xml:space="preserve"> local training guide is available via a web link displayed in the associated PharmOutcomes® service</w:t>
            </w:r>
            <w:r>
              <w:t>.</w:t>
            </w:r>
          </w:p>
        </w:tc>
        <w:tc>
          <w:tcPr>
            <w:tcW w:w="799" w:type="dxa"/>
          </w:tcPr>
          <w:p w14:paraId="2701175F" w14:textId="77777777" w:rsidR="008E0FF7" w:rsidRDefault="008E0FF7" w:rsidP="008E0FF7"/>
        </w:tc>
      </w:tr>
      <w:tr w:rsidR="008E0FF7" w14:paraId="21CF59AB" w14:textId="27325A9E" w:rsidTr="00045F43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8E0FF7" w:rsidRDefault="008E0FF7" w:rsidP="008E0FF7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09F87EC7" w:rsidR="008E0FF7" w:rsidRDefault="008E0FF7" w:rsidP="008E0FF7">
            <w:r>
              <w:t>Yes</w:t>
            </w:r>
          </w:p>
        </w:tc>
        <w:tc>
          <w:tcPr>
            <w:tcW w:w="799" w:type="dxa"/>
          </w:tcPr>
          <w:p w14:paraId="51CB332B" w14:textId="77777777" w:rsidR="008E0FF7" w:rsidRDefault="008E0FF7" w:rsidP="008E0FF7"/>
        </w:tc>
      </w:tr>
      <w:tr w:rsidR="008E0FF7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8E0FF7" w:rsidRPr="00EA3183" w:rsidRDefault="008E0FF7" w:rsidP="008E0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8E0FF7" w:rsidRPr="00EA3183" w:rsidRDefault="008E0FF7" w:rsidP="008E0FF7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8E0FF7" w:rsidRPr="00EA3183" w:rsidRDefault="008E0FF7" w:rsidP="008E0FF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0FF7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8E0FF7" w:rsidRDefault="008E0FF7" w:rsidP="008E0FF7">
            <w:r>
              <w:t>Any other information specific to this service.</w:t>
            </w:r>
          </w:p>
        </w:tc>
        <w:tc>
          <w:tcPr>
            <w:tcW w:w="5484" w:type="dxa"/>
          </w:tcPr>
          <w:p w14:paraId="23E8F2EF" w14:textId="2BCCA2AE" w:rsidR="008E0FF7" w:rsidRDefault="003A0FBF" w:rsidP="008E0FF7">
            <w:r>
              <w:t xml:space="preserve">No uplift in fee, but ICB have said they will review in 6 </w:t>
            </w:r>
            <w:r w:rsidR="002C5CD6">
              <w:t>months’ time</w:t>
            </w:r>
            <w:r w:rsidR="00BB1B99">
              <w:t>.</w:t>
            </w:r>
          </w:p>
          <w:p w14:paraId="6B5EA071" w14:textId="77777777" w:rsidR="00BB1B99" w:rsidRDefault="00BB1B99" w:rsidP="008E0FF7"/>
          <w:p w14:paraId="0387A859" w14:textId="1719A3EA" w:rsidR="00BB1B99" w:rsidRDefault="00BB1B99" w:rsidP="008E0FF7">
            <w:r>
              <w:t>We did have an uplift last year.</w:t>
            </w:r>
          </w:p>
        </w:tc>
        <w:tc>
          <w:tcPr>
            <w:tcW w:w="799" w:type="dxa"/>
          </w:tcPr>
          <w:p w14:paraId="6AF58629" w14:textId="77777777" w:rsidR="008E0FF7" w:rsidRDefault="008E0FF7" w:rsidP="008E0FF7"/>
        </w:tc>
      </w:tr>
      <w:tr w:rsidR="008E0FF7" w14:paraId="755419F6" w14:textId="6BD7B556" w:rsidTr="0094001F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8E0FF7" w:rsidRDefault="008E0FF7" w:rsidP="008E0FF7">
            <w:r>
              <w:lastRenderedPageBreak/>
              <w:t>Suggested RAG Rating</w:t>
            </w:r>
          </w:p>
        </w:tc>
        <w:tc>
          <w:tcPr>
            <w:tcW w:w="5484" w:type="dxa"/>
            <w:shd w:val="clear" w:color="auto" w:fill="FFC000"/>
          </w:tcPr>
          <w:p w14:paraId="4269F11F" w14:textId="77777777" w:rsidR="008E0FF7" w:rsidRDefault="008E0FF7" w:rsidP="008E0FF7"/>
        </w:tc>
        <w:tc>
          <w:tcPr>
            <w:tcW w:w="799" w:type="dxa"/>
            <w:shd w:val="clear" w:color="auto" w:fill="FFC000"/>
          </w:tcPr>
          <w:p w14:paraId="4D549C5A" w14:textId="77777777" w:rsidR="008E0FF7" w:rsidRDefault="008E0FF7" w:rsidP="008E0FF7"/>
        </w:tc>
      </w:tr>
    </w:tbl>
    <w:p w14:paraId="3674DB31" w14:textId="77777777" w:rsidR="00835D38" w:rsidRDefault="00835D38" w:rsidP="009163F2"/>
    <w:sectPr w:rsidR="00835D38" w:rsidSect="009467A1">
      <w:headerReference w:type="default" r:id="rId10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E58A" w14:textId="77777777" w:rsidR="00473A07" w:rsidRDefault="00473A07" w:rsidP="00976447">
      <w:pPr>
        <w:spacing w:after="0" w:line="240" w:lineRule="auto"/>
      </w:pPr>
      <w:r>
        <w:separator/>
      </w:r>
    </w:p>
  </w:endnote>
  <w:endnote w:type="continuationSeparator" w:id="0">
    <w:p w14:paraId="136FEFBB" w14:textId="77777777" w:rsidR="00473A07" w:rsidRDefault="00473A07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0401" w14:textId="77777777" w:rsidR="00473A07" w:rsidRDefault="00473A07" w:rsidP="00976447">
      <w:pPr>
        <w:spacing w:after="0" w:line="240" w:lineRule="auto"/>
      </w:pPr>
      <w:r>
        <w:separator/>
      </w:r>
    </w:p>
  </w:footnote>
  <w:footnote w:type="continuationSeparator" w:id="0">
    <w:p w14:paraId="6A9CFECE" w14:textId="77777777" w:rsidR="00473A07" w:rsidRDefault="00473A07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41466">
    <w:abstractNumId w:val="1"/>
  </w:num>
  <w:num w:numId="2" w16cid:durableId="2023512340">
    <w:abstractNumId w:val="0"/>
  </w:num>
  <w:num w:numId="3" w16cid:durableId="16837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350AA"/>
    <w:rsid w:val="00045F43"/>
    <w:rsid w:val="0007423A"/>
    <w:rsid w:val="00074984"/>
    <w:rsid w:val="0007581C"/>
    <w:rsid w:val="000A34AA"/>
    <w:rsid w:val="000C0217"/>
    <w:rsid w:val="000D39CA"/>
    <w:rsid w:val="000D51A7"/>
    <w:rsid w:val="000D6178"/>
    <w:rsid w:val="000F11B9"/>
    <w:rsid w:val="000F4BE3"/>
    <w:rsid w:val="00100477"/>
    <w:rsid w:val="00120B8B"/>
    <w:rsid w:val="001404CF"/>
    <w:rsid w:val="001535B4"/>
    <w:rsid w:val="001879AF"/>
    <w:rsid w:val="001B06EC"/>
    <w:rsid w:val="00244002"/>
    <w:rsid w:val="0028001F"/>
    <w:rsid w:val="002851C4"/>
    <w:rsid w:val="002A4146"/>
    <w:rsid w:val="002C5CD6"/>
    <w:rsid w:val="002E2966"/>
    <w:rsid w:val="00332C98"/>
    <w:rsid w:val="003876C0"/>
    <w:rsid w:val="003A0FBF"/>
    <w:rsid w:val="0041049D"/>
    <w:rsid w:val="00460CB9"/>
    <w:rsid w:val="00473A07"/>
    <w:rsid w:val="004A4DA0"/>
    <w:rsid w:val="004B0D0D"/>
    <w:rsid w:val="004B345B"/>
    <w:rsid w:val="004F2991"/>
    <w:rsid w:val="0053198F"/>
    <w:rsid w:val="0054344E"/>
    <w:rsid w:val="005622DD"/>
    <w:rsid w:val="005859B7"/>
    <w:rsid w:val="005A1E13"/>
    <w:rsid w:val="005B08F0"/>
    <w:rsid w:val="005F25A9"/>
    <w:rsid w:val="00612645"/>
    <w:rsid w:val="00643981"/>
    <w:rsid w:val="00674853"/>
    <w:rsid w:val="0068698C"/>
    <w:rsid w:val="00697410"/>
    <w:rsid w:val="006A4876"/>
    <w:rsid w:val="006A7667"/>
    <w:rsid w:val="006B2BB8"/>
    <w:rsid w:val="006E3114"/>
    <w:rsid w:val="0073541F"/>
    <w:rsid w:val="00742AAF"/>
    <w:rsid w:val="00745865"/>
    <w:rsid w:val="00771CB7"/>
    <w:rsid w:val="00790210"/>
    <w:rsid w:val="007D32B6"/>
    <w:rsid w:val="007D554A"/>
    <w:rsid w:val="007D5A8A"/>
    <w:rsid w:val="007E0BB9"/>
    <w:rsid w:val="007F001C"/>
    <w:rsid w:val="008138B5"/>
    <w:rsid w:val="008267BA"/>
    <w:rsid w:val="00835D38"/>
    <w:rsid w:val="00862910"/>
    <w:rsid w:val="008A3C57"/>
    <w:rsid w:val="008D443F"/>
    <w:rsid w:val="008D5CB8"/>
    <w:rsid w:val="008E0FF7"/>
    <w:rsid w:val="008F22ED"/>
    <w:rsid w:val="008F7E00"/>
    <w:rsid w:val="00907ABE"/>
    <w:rsid w:val="009163F2"/>
    <w:rsid w:val="00935A10"/>
    <w:rsid w:val="0094001F"/>
    <w:rsid w:val="009467A1"/>
    <w:rsid w:val="00976447"/>
    <w:rsid w:val="009863B1"/>
    <w:rsid w:val="00996E1D"/>
    <w:rsid w:val="009A4336"/>
    <w:rsid w:val="009D2EF0"/>
    <w:rsid w:val="00A0305C"/>
    <w:rsid w:val="00A14F45"/>
    <w:rsid w:val="00A3374B"/>
    <w:rsid w:val="00A46B9D"/>
    <w:rsid w:val="00A60403"/>
    <w:rsid w:val="00A60449"/>
    <w:rsid w:val="00A70906"/>
    <w:rsid w:val="00A81782"/>
    <w:rsid w:val="00A8629B"/>
    <w:rsid w:val="00A92A98"/>
    <w:rsid w:val="00AA6E8D"/>
    <w:rsid w:val="00AC2ACA"/>
    <w:rsid w:val="00AC31A4"/>
    <w:rsid w:val="00AF2E5C"/>
    <w:rsid w:val="00B27B12"/>
    <w:rsid w:val="00B3219E"/>
    <w:rsid w:val="00B511A9"/>
    <w:rsid w:val="00BA142A"/>
    <w:rsid w:val="00BB1B99"/>
    <w:rsid w:val="00C231AC"/>
    <w:rsid w:val="00C8050F"/>
    <w:rsid w:val="00CA780A"/>
    <w:rsid w:val="00CD5FA8"/>
    <w:rsid w:val="00CE14BC"/>
    <w:rsid w:val="00CE5827"/>
    <w:rsid w:val="00CF09FC"/>
    <w:rsid w:val="00CF5535"/>
    <w:rsid w:val="00D01E8F"/>
    <w:rsid w:val="00D24915"/>
    <w:rsid w:val="00D56752"/>
    <w:rsid w:val="00D81EB5"/>
    <w:rsid w:val="00D86168"/>
    <w:rsid w:val="00DA6A3F"/>
    <w:rsid w:val="00DB403D"/>
    <w:rsid w:val="00DC68B2"/>
    <w:rsid w:val="00DD6A9B"/>
    <w:rsid w:val="00DE4DBE"/>
    <w:rsid w:val="00DF6367"/>
    <w:rsid w:val="00E12F94"/>
    <w:rsid w:val="00E1384A"/>
    <w:rsid w:val="00E17E31"/>
    <w:rsid w:val="00E220A4"/>
    <w:rsid w:val="00E46D93"/>
    <w:rsid w:val="00E62A33"/>
    <w:rsid w:val="00E82621"/>
    <w:rsid w:val="00E8310F"/>
    <w:rsid w:val="00E90D5D"/>
    <w:rsid w:val="00EA3183"/>
    <w:rsid w:val="00EA42B3"/>
    <w:rsid w:val="00EB0EFC"/>
    <w:rsid w:val="00ED31DD"/>
    <w:rsid w:val="00ED6AAF"/>
    <w:rsid w:val="00EF07DA"/>
    <w:rsid w:val="00F02A57"/>
    <w:rsid w:val="00F063FE"/>
    <w:rsid w:val="00F1435C"/>
    <w:rsid w:val="00F259B9"/>
    <w:rsid w:val="00F36A8C"/>
    <w:rsid w:val="00F46C00"/>
    <w:rsid w:val="00F804E5"/>
    <w:rsid w:val="00F901A7"/>
    <w:rsid w:val="00F91BB1"/>
    <w:rsid w:val="00F92359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ppe.ac.uk/gateway/mino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6663F"/>
    <w:rsid w:val="000C7DE3"/>
    <w:rsid w:val="001518A5"/>
    <w:rsid w:val="001E57DA"/>
    <w:rsid w:val="0022327C"/>
    <w:rsid w:val="00224ECB"/>
    <w:rsid w:val="0022656D"/>
    <w:rsid w:val="0037538B"/>
    <w:rsid w:val="00435F78"/>
    <w:rsid w:val="004B3B4B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17</cp:revision>
  <dcterms:created xsi:type="dcterms:W3CDTF">2023-03-16T15:12:00Z</dcterms:created>
  <dcterms:modified xsi:type="dcterms:W3CDTF">2023-03-17T16:44:00Z</dcterms:modified>
</cp:coreProperties>
</file>