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7AF39" w14:textId="22F06A10" w:rsidR="00082136" w:rsidRPr="00270A60" w:rsidRDefault="00B255AA" w:rsidP="00270A60">
      <w:pPr>
        <w:spacing w:after="0" w:line="240" w:lineRule="auto"/>
        <w:ind w:left="-142"/>
        <w:jc w:val="both"/>
        <w:rPr>
          <w:b/>
          <w:sz w:val="28"/>
        </w:rPr>
      </w:pPr>
      <w:r>
        <w:rPr>
          <w:b/>
          <w:sz w:val="28"/>
        </w:rPr>
        <w:t>Community Pharmacy South Central’s (CPSC)</w:t>
      </w:r>
      <w:r w:rsidR="00082136" w:rsidRPr="00270A60">
        <w:rPr>
          <w:b/>
          <w:sz w:val="28"/>
        </w:rPr>
        <w:t xml:space="preserve"> response to the </w:t>
      </w:r>
      <w:r w:rsidR="00082136" w:rsidRPr="00270A60">
        <w:rPr>
          <w:b/>
          <w:sz w:val="28"/>
          <w:lang w:val="en-US"/>
        </w:rPr>
        <w:t>NHS England / NHSCC consultation on items which should not routinely be prescribed in primary care</w:t>
      </w:r>
    </w:p>
    <w:p w14:paraId="6F79F1B3" w14:textId="77777777" w:rsidR="00082136" w:rsidRPr="00270A60" w:rsidRDefault="00082136" w:rsidP="00270A60">
      <w:pPr>
        <w:spacing w:after="0" w:line="240" w:lineRule="auto"/>
        <w:ind w:left="-142"/>
        <w:jc w:val="both"/>
        <w:rPr>
          <w:b/>
          <w:sz w:val="28"/>
        </w:rPr>
      </w:pPr>
    </w:p>
    <w:p w14:paraId="343A519F" w14:textId="77777777" w:rsidR="004022FA" w:rsidRPr="00DD71F0" w:rsidRDefault="00DD71F0" w:rsidP="00270A60">
      <w:pPr>
        <w:spacing w:after="0" w:line="240" w:lineRule="auto"/>
        <w:ind w:left="-142"/>
        <w:jc w:val="both"/>
        <w:rPr>
          <w:b/>
        </w:rPr>
      </w:pPr>
      <w:r w:rsidRPr="00DD71F0">
        <w:rPr>
          <w:b/>
        </w:rPr>
        <w:t xml:space="preserve">Part 1 - </w:t>
      </w:r>
      <w:r w:rsidR="003115D8" w:rsidRPr="00DD71F0">
        <w:rPr>
          <w:b/>
        </w:rPr>
        <w:t>Medicines which should no longer be routinely pre</w:t>
      </w:r>
      <w:r w:rsidRPr="00DD71F0">
        <w:rPr>
          <w:b/>
        </w:rPr>
        <w:t>scribed because they are either c</w:t>
      </w:r>
      <w:r w:rsidR="003115D8" w:rsidRPr="00DD71F0">
        <w:rPr>
          <w:b/>
        </w:rPr>
        <w:t>linically ineffective, unsafe or not cost effective; or</w:t>
      </w:r>
      <w:r w:rsidRPr="00DD71F0">
        <w:rPr>
          <w:b/>
        </w:rPr>
        <w:t xml:space="preserve"> </w:t>
      </w:r>
      <w:r>
        <w:rPr>
          <w:b/>
        </w:rPr>
        <w:t>t</w:t>
      </w:r>
      <w:r w:rsidR="003115D8" w:rsidRPr="00DD71F0">
        <w:rPr>
          <w:b/>
        </w:rPr>
        <w:t>he NHS can offer a clinically-proven alternative for patients</w:t>
      </w:r>
    </w:p>
    <w:p w14:paraId="3C5A0253" w14:textId="77777777" w:rsidR="00B77A6D" w:rsidRDefault="00B77A6D" w:rsidP="00270A60">
      <w:pPr>
        <w:spacing w:after="0" w:line="240" w:lineRule="auto"/>
        <w:ind w:left="-142"/>
      </w:pPr>
    </w:p>
    <w:p w14:paraId="61108EE9" w14:textId="7BBCC5BA" w:rsidR="00DD71F0" w:rsidRDefault="00B255AA" w:rsidP="00B255AA">
      <w:pPr>
        <w:spacing w:after="0" w:line="240" w:lineRule="auto"/>
        <w:ind w:left="-142"/>
        <w:jc w:val="both"/>
      </w:pPr>
      <w:r>
        <w:t xml:space="preserve">CPSC </w:t>
      </w:r>
      <w:r w:rsidR="00DD71F0">
        <w:t xml:space="preserve">supports the proposals, as strong clinical arguments have been made for the implementation of prescribing restrictions for this group of products. </w:t>
      </w:r>
      <w:r>
        <w:t>H</w:t>
      </w:r>
      <w:r w:rsidR="00DD71F0">
        <w:t>owever</w:t>
      </w:r>
      <w:r>
        <w:t>, we do</w:t>
      </w:r>
      <w:r w:rsidR="00DD71F0">
        <w:t xml:space="preserve"> suggest that careful planning will be required at national and local levels to implement the proposals successfully</w:t>
      </w:r>
      <w:r>
        <w:t xml:space="preserve"> and avoid any </w:t>
      </w:r>
      <w:r w:rsidR="00DD71F0">
        <w:t>unintended consequences.</w:t>
      </w:r>
    </w:p>
    <w:p w14:paraId="09FB8F3F" w14:textId="77777777" w:rsidR="00DD71F0" w:rsidRDefault="00DD71F0" w:rsidP="00B255AA">
      <w:pPr>
        <w:spacing w:after="0" w:line="240" w:lineRule="auto"/>
        <w:jc w:val="both"/>
      </w:pPr>
    </w:p>
    <w:p w14:paraId="12B30708" w14:textId="3DD2EDE3" w:rsidR="00DD71F0" w:rsidRDefault="00B255AA" w:rsidP="00B255AA">
      <w:pPr>
        <w:spacing w:after="0" w:line="240" w:lineRule="auto"/>
        <w:ind w:left="-142"/>
        <w:jc w:val="both"/>
      </w:pPr>
      <w:r>
        <w:t>To help community pharmacy teams with the provision of appropriate support to their patients,</w:t>
      </w:r>
      <w:r>
        <w:t xml:space="preserve"> i</w:t>
      </w:r>
      <w:r w:rsidR="00082136">
        <w:t xml:space="preserve">t will be important </w:t>
      </w:r>
      <w:r>
        <w:t>for</w:t>
      </w:r>
      <w:r w:rsidR="00082136">
        <w:t xml:space="preserve"> </w:t>
      </w:r>
      <w:r>
        <w:t>communication</w:t>
      </w:r>
      <w:r w:rsidR="00DD71F0">
        <w:t xml:space="preserve"> materials and messages </w:t>
      </w:r>
      <w:r>
        <w:t>to be developed and</w:t>
      </w:r>
      <w:r w:rsidR="00082136">
        <w:t xml:space="preserve"> approved at a national level</w:t>
      </w:r>
      <w:r>
        <w:t>.</w:t>
      </w:r>
      <w:r w:rsidR="00082136">
        <w:t xml:space="preserve"> </w:t>
      </w:r>
      <w:r>
        <w:t xml:space="preserve">By then making them </w:t>
      </w:r>
      <w:r w:rsidR="00082136">
        <w:t>available locally</w:t>
      </w:r>
      <w:r>
        <w:t>,</w:t>
      </w:r>
      <w:r w:rsidR="00082136">
        <w:t xml:space="preserve"> they</w:t>
      </w:r>
      <w:r w:rsidR="00DD71F0">
        <w:t xml:space="preserve"> can </w:t>
      </w:r>
      <w:r>
        <w:t xml:space="preserve">be </w:t>
      </w:r>
      <w:r w:rsidR="00DD71F0">
        <w:t xml:space="preserve">used </w:t>
      </w:r>
      <w:r>
        <w:t xml:space="preserve">consistently </w:t>
      </w:r>
      <w:r w:rsidR="00DD71F0">
        <w:t>by</w:t>
      </w:r>
      <w:r>
        <w:t xml:space="preserve"> all</w:t>
      </w:r>
      <w:r w:rsidR="00DD71F0">
        <w:t xml:space="preserve"> healthcare professionals, including community pharmacists and their teams, when discussing amendments to prescribing with individual patients.</w:t>
      </w:r>
      <w:r w:rsidR="007D675F">
        <w:t xml:space="preserve"> </w:t>
      </w:r>
    </w:p>
    <w:p w14:paraId="20D552E6" w14:textId="77777777" w:rsidR="006974EB" w:rsidRDefault="006974EB" w:rsidP="00B255AA">
      <w:pPr>
        <w:spacing w:after="0" w:line="240" w:lineRule="auto"/>
        <w:ind w:left="-142"/>
        <w:jc w:val="both"/>
      </w:pPr>
    </w:p>
    <w:p w14:paraId="6E356A1A" w14:textId="77777777" w:rsidR="006974EB" w:rsidRDefault="006974EB" w:rsidP="006974EB">
      <w:pPr>
        <w:spacing w:after="0" w:line="240" w:lineRule="auto"/>
        <w:ind w:left="-142"/>
        <w:jc w:val="both"/>
      </w:pPr>
      <w:r>
        <w:t xml:space="preserve">For effective patient engagement, it is important that those patients whose regimens are being changed should have the changes explained to them in a face to face consultation with an appropriate member of the MDT. Communication exclusively by a written medium will not achieve the desired outcome. </w:t>
      </w:r>
    </w:p>
    <w:p w14:paraId="792178A6" w14:textId="77777777" w:rsidR="00DD71F0" w:rsidRDefault="00DD71F0" w:rsidP="006974EB">
      <w:pPr>
        <w:spacing w:after="0" w:line="240" w:lineRule="auto"/>
        <w:jc w:val="both"/>
      </w:pPr>
    </w:p>
    <w:p w14:paraId="2F2ABE37" w14:textId="7E064DCE" w:rsidR="008D7131" w:rsidRDefault="00B255AA" w:rsidP="008D7131">
      <w:pPr>
        <w:spacing w:after="0" w:line="240" w:lineRule="auto"/>
        <w:ind w:left="-142"/>
        <w:jc w:val="both"/>
      </w:pPr>
      <w:r>
        <w:t xml:space="preserve">As </w:t>
      </w:r>
      <w:r w:rsidR="008D7131">
        <w:t xml:space="preserve">our </w:t>
      </w:r>
      <w:r w:rsidR="00082136">
        <w:t>CCGs seek to implement the</w:t>
      </w:r>
      <w:r>
        <w:t>se</w:t>
      </w:r>
      <w:r w:rsidR="00082136">
        <w:t xml:space="preserve"> changes </w:t>
      </w:r>
      <w:r>
        <w:t>across</w:t>
      </w:r>
      <w:r w:rsidR="00082136">
        <w:t xml:space="preserve"> their area</w:t>
      </w:r>
      <w:r>
        <w:t>s</w:t>
      </w:r>
      <w:r w:rsidR="00082136">
        <w:t xml:space="preserve">, </w:t>
      </w:r>
      <w:r>
        <w:t xml:space="preserve">it is vital that </w:t>
      </w:r>
      <w:r w:rsidR="00082136">
        <w:t xml:space="preserve">they should work with </w:t>
      </w:r>
      <w:r w:rsidR="008D7131">
        <w:t>us, CPSC, as the local representative for all the pharmacy contractors.</w:t>
      </w:r>
      <w:r w:rsidR="00082136">
        <w:t xml:space="preserve"> </w:t>
      </w:r>
      <w:r w:rsidR="008D7131">
        <w:t>This will help to</w:t>
      </w:r>
      <w:r w:rsidR="00082136">
        <w:t xml:space="preserve"> ensure that</w:t>
      </w:r>
      <w:r w:rsidR="008D7131">
        <w:t xml:space="preserve"> our</w:t>
      </w:r>
      <w:r w:rsidR="00082136">
        <w:t xml:space="preserve"> community pharmacy teams are provided with appropriate information</w:t>
      </w:r>
      <w:r w:rsidR="006974EB">
        <w:t>,</w:t>
      </w:r>
      <w:r w:rsidR="00082136">
        <w:t xml:space="preserve"> and </w:t>
      </w:r>
      <w:r w:rsidR="008D7131">
        <w:t xml:space="preserve">the </w:t>
      </w:r>
      <w:r w:rsidR="00082136">
        <w:t xml:space="preserve">support </w:t>
      </w:r>
      <w:r w:rsidR="008D7131">
        <w:t>they require</w:t>
      </w:r>
      <w:r w:rsidR="006974EB">
        <w:t>,</w:t>
      </w:r>
      <w:r w:rsidR="008D7131">
        <w:t xml:space="preserve"> </w:t>
      </w:r>
      <w:r w:rsidR="00082136">
        <w:t>to allow them to play their part within the local multi-disciplinary teams</w:t>
      </w:r>
      <w:r w:rsidR="005433C0">
        <w:t xml:space="preserve"> (MDT)</w:t>
      </w:r>
      <w:r w:rsidR="00082136">
        <w:t xml:space="preserve"> which will be providing care to patients whose prescriptions will be amended.</w:t>
      </w:r>
      <w:r w:rsidR="008D7131">
        <w:t xml:space="preserve"> </w:t>
      </w:r>
      <w:r w:rsidR="008D7131">
        <w:t xml:space="preserve">It is </w:t>
      </w:r>
      <w:r w:rsidR="008D7131">
        <w:t xml:space="preserve">also </w:t>
      </w:r>
      <w:r w:rsidR="008D7131">
        <w:t>essential that pharmacy contractors are given adequate notice of changes to prescribing, when these are being implemented at a local level, so that stock levels of the affected products can be properly managed.</w:t>
      </w:r>
    </w:p>
    <w:p w14:paraId="4977B2E3" w14:textId="77777777" w:rsidR="003115D8" w:rsidRDefault="003115D8" w:rsidP="008D7131">
      <w:pPr>
        <w:spacing w:after="0" w:line="240" w:lineRule="auto"/>
        <w:jc w:val="both"/>
      </w:pPr>
    </w:p>
    <w:p w14:paraId="6C980C49" w14:textId="77777777" w:rsidR="00082136" w:rsidRDefault="00082136" w:rsidP="00270A60">
      <w:pPr>
        <w:spacing w:after="0" w:line="240" w:lineRule="auto"/>
        <w:ind w:left="-142"/>
        <w:jc w:val="both"/>
      </w:pPr>
    </w:p>
    <w:p w14:paraId="77B85289" w14:textId="0AF54735" w:rsidR="00082136" w:rsidRDefault="00082136" w:rsidP="00270A60">
      <w:pPr>
        <w:spacing w:after="0" w:line="240" w:lineRule="auto"/>
        <w:ind w:left="-142"/>
        <w:jc w:val="both"/>
      </w:pPr>
    </w:p>
    <w:p w14:paraId="7EB9836F" w14:textId="1249C7CB" w:rsidR="005433C0" w:rsidRDefault="005433C0" w:rsidP="00270A60">
      <w:pPr>
        <w:spacing w:after="0" w:line="240" w:lineRule="auto"/>
        <w:ind w:left="-142"/>
        <w:jc w:val="both"/>
        <w:rPr>
          <w:b/>
        </w:rPr>
      </w:pPr>
      <w:r>
        <w:rPr>
          <w:b/>
        </w:rPr>
        <w:t>Part 2</w:t>
      </w:r>
      <w:r w:rsidRPr="00DD71F0">
        <w:rPr>
          <w:b/>
        </w:rPr>
        <w:t xml:space="preserve"> - Medicines which </w:t>
      </w:r>
      <w:r>
        <w:rPr>
          <w:b/>
        </w:rPr>
        <w:t>are available to purchase over the counter (OTC)</w:t>
      </w:r>
    </w:p>
    <w:p w14:paraId="33828280" w14:textId="30D5347B" w:rsidR="005433C0" w:rsidRDefault="005433C0" w:rsidP="00270A60">
      <w:pPr>
        <w:spacing w:after="0" w:line="240" w:lineRule="auto"/>
        <w:ind w:left="-142"/>
        <w:jc w:val="both"/>
      </w:pPr>
    </w:p>
    <w:p w14:paraId="511A1653" w14:textId="75E10F9B" w:rsidR="004022FA" w:rsidRDefault="006974EB" w:rsidP="00270A60">
      <w:pPr>
        <w:spacing w:after="0" w:line="240" w:lineRule="auto"/>
        <w:ind w:left="-142"/>
        <w:jc w:val="both"/>
      </w:pPr>
      <w:r>
        <w:t>CPSC</w:t>
      </w:r>
      <w:r w:rsidR="005433C0">
        <w:t xml:space="preserve"> r</w:t>
      </w:r>
      <w:r w:rsidR="003115D8" w:rsidRPr="005433C0">
        <w:t>ecognise</w:t>
      </w:r>
      <w:r w:rsidR="005433C0">
        <w:t xml:space="preserve">s </w:t>
      </w:r>
      <w:r w:rsidR="003115D8" w:rsidRPr="005433C0">
        <w:t xml:space="preserve">the </w:t>
      </w:r>
      <w:r w:rsidR="005433C0">
        <w:t>current need for the NHS to make savings</w:t>
      </w:r>
      <w:r w:rsidR="00F365E7">
        <w:t>,</w:t>
      </w:r>
      <w:r w:rsidR="005433C0">
        <w:t xml:space="preserve"> and </w:t>
      </w:r>
      <w:r>
        <w:t>therefore</w:t>
      </w:r>
      <w:r w:rsidR="005433C0">
        <w:t xml:space="preserve"> why CCGs have implemented or </w:t>
      </w:r>
      <w:r>
        <w:t xml:space="preserve">may </w:t>
      </w:r>
      <w:r w:rsidR="005433C0">
        <w:t xml:space="preserve">wish to implement such a change </w:t>
      </w:r>
      <w:r w:rsidR="003115D8" w:rsidRPr="005433C0">
        <w:t>in policy</w:t>
      </w:r>
      <w:r w:rsidR="005433C0">
        <w:t>.</w:t>
      </w:r>
      <w:r w:rsidR="00F26CB9">
        <w:t xml:space="preserve"> </w:t>
      </w:r>
      <w:r w:rsidR="005433C0">
        <w:t>We are however concerned that there are several significant policy issues which need to be carefully considered by NHS England and NHSCC before they reach any conclusions on restricting the prescribing of medicines which are available for patients to purchase OTC.</w:t>
      </w:r>
    </w:p>
    <w:p w14:paraId="4C60C42F" w14:textId="37531AB6" w:rsidR="005433C0" w:rsidRDefault="005433C0" w:rsidP="00270A60">
      <w:pPr>
        <w:spacing w:after="0" w:line="240" w:lineRule="auto"/>
        <w:ind w:left="-142"/>
        <w:jc w:val="both"/>
      </w:pPr>
    </w:p>
    <w:p w14:paraId="0A349794" w14:textId="5A1CB305" w:rsidR="005433C0" w:rsidRPr="005433C0" w:rsidRDefault="005433C0" w:rsidP="00270A60">
      <w:pPr>
        <w:spacing w:after="0" w:line="240" w:lineRule="auto"/>
        <w:ind w:left="-142"/>
        <w:jc w:val="both"/>
      </w:pPr>
      <w:r>
        <w:t>These include:</w:t>
      </w:r>
    </w:p>
    <w:p w14:paraId="6B55F4ED" w14:textId="1DBDF3FE" w:rsidR="00655CBF" w:rsidRDefault="003115D8" w:rsidP="00270A60">
      <w:pPr>
        <w:pStyle w:val="ListParagraph"/>
        <w:numPr>
          <w:ilvl w:val="0"/>
          <w:numId w:val="3"/>
        </w:numPr>
        <w:spacing w:after="0" w:line="240" w:lineRule="auto"/>
        <w:jc w:val="both"/>
      </w:pPr>
      <w:r w:rsidRPr="005433C0">
        <w:t xml:space="preserve">the conflict with </w:t>
      </w:r>
      <w:r w:rsidR="00530164">
        <w:t xml:space="preserve">Principle 2 of </w:t>
      </w:r>
      <w:r w:rsidRPr="005433C0">
        <w:t>the NHS constitution</w:t>
      </w:r>
      <w:r w:rsidR="00530164">
        <w:t xml:space="preserve"> (</w:t>
      </w:r>
      <w:r w:rsidR="00530164" w:rsidRPr="009D1894">
        <w:rPr>
          <w:rFonts w:ascii="Calibri" w:eastAsia="Calibri" w:hAnsi="Calibri"/>
        </w:rPr>
        <w:t>‘Access to NHS services is based on clinical need, not an individual’s ability to pay. NHS services are free of charge, except in limited circumstances sanctioned by Parliament’</w:t>
      </w:r>
      <w:r w:rsidR="00530164">
        <w:rPr>
          <w:rFonts w:ascii="Calibri" w:eastAsia="Calibri" w:hAnsi="Calibri"/>
        </w:rPr>
        <w:t>)</w:t>
      </w:r>
      <w:r w:rsidRPr="005433C0">
        <w:t xml:space="preserve"> and the need for such issues to be considered by Government, rather than being determined by the NHS</w:t>
      </w:r>
    </w:p>
    <w:p w14:paraId="71F70547" w14:textId="6B02C34E" w:rsidR="00F26CB9" w:rsidRDefault="00F26CB9" w:rsidP="00270A60">
      <w:pPr>
        <w:pStyle w:val="ListParagraph"/>
        <w:numPr>
          <w:ilvl w:val="0"/>
          <w:numId w:val="3"/>
        </w:numPr>
        <w:spacing w:after="0" w:line="240" w:lineRule="auto"/>
        <w:jc w:val="both"/>
      </w:pPr>
      <w:r>
        <w:t>the conflict with the regulatory and professional obligations on doctors to prescribe a medicine where clinically</w:t>
      </w:r>
      <w:r w:rsidR="006974EB">
        <w:t xml:space="preserve"> indicated</w:t>
      </w:r>
    </w:p>
    <w:p w14:paraId="263BCED4" w14:textId="01B2827E" w:rsidR="00655CBF" w:rsidRDefault="003115D8" w:rsidP="00270A60">
      <w:pPr>
        <w:pStyle w:val="ListParagraph"/>
        <w:numPr>
          <w:ilvl w:val="0"/>
          <w:numId w:val="3"/>
        </w:numPr>
        <w:spacing w:after="0" w:line="240" w:lineRule="auto"/>
        <w:ind w:left="567"/>
        <w:jc w:val="both"/>
      </w:pPr>
      <w:r w:rsidRPr="005433C0">
        <w:t xml:space="preserve">the </w:t>
      </w:r>
      <w:r w:rsidR="006974EB">
        <w:t>probable,</w:t>
      </w:r>
      <w:r w:rsidRPr="005433C0">
        <w:t xml:space="preserve"> </w:t>
      </w:r>
      <w:r w:rsidR="00530164">
        <w:t>disproportionate</w:t>
      </w:r>
      <w:r w:rsidR="006974EB">
        <w:t>ly</w:t>
      </w:r>
      <w:r w:rsidRPr="005433C0">
        <w:t xml:space="preserve"> </w:t>
      </w:r>
      <w:r w:rsidR="00875D3F">
        <w:t xml:space="preserve">adverse </w:t>
      </w:r>
      <w:r w:rsidRPr="005433C0">
        <w:t>imp</w:t>
      </w:r>
      <w:r w:rsidR="006974EB">
        <w:t xml:space="preserve">act on low income individuals and </w:t>
      </w:r>
      <w:r w:rsidRPr="005433C0">
        <w:t>families</w:t>
      </w:r>
      <w:r w:rsidR="003C45B9">
        <w:t>, including</w:t>
      </w:r>
      <w:r w:rsidRPr="005433C0">
        <w:t xml:space="preserve"> </w:t>
      </w:r>
      <w:r w:rsidR="003C45B9">
        <w:t>their</w:t>
      </w:r>
      <w:r w:rsidR="006974EB">
        <w:t xml:space="preserve"> </w:t>
      </w:r>
      <w:r w:rsidRPr="005433C0">
        <w:t>children</w:t>
      </w:r>
      <w:r w:rsidR="006974EB">
        <w:t xml:space="preserve">. The data available on </w:t>
      </w:r>
      <w:r w:rsidR="00530164">
        <w:rPr>
          <w:rFonts w:ascii="Calibri" w:eastAsia="Calibri" w:hAnsi="Calibri"/>
        </w:rPr>
        <w:t xml:space="preserve">PharmOutcomes </w:t>
      </w:r>
      <w:r w:rsidR="006974EB">
        <w:rPr>
          <w:rFonts w:ascii="Calibri" w:eastAsia="Calibri" w:hAnsi="Calibri"/>
        </w:rPr>
        <w:t>relating to Minor Ailment Service</w:t>
      </w:r>
      <w:r w:rsidR="00530164">
        <w:rPr>
          <w:rFonts w:ascii="Calibri" w:eastAsia="Calibri" w:hAnsi="Calibri"/>
        </w:rPr>
        <w:t xml:space="preserve"> consultations shows that 61% of </w:t>
      </w:r>
      <w:r w:rsidR="006974EB">
        <w:rPr>
          <w:rFonts w:ascii="Calibri" w:eastAsia="Calibri" w:hAnsi="Calibri"/>
        </w:rPr>
        <w:t xml:space="preserve">these </w:t>
      </w:r>
      <w:r w:rsidR="00530164">
        <w:rPr>
          <w:rFonts w:ascii="Calibri" w:eastAsia="Calibri" w:hAnsi="Calibri"/>
        </w:rPr>
        <w:t>consultations are for patients under 16 years of age</w:t>
      </w:r>
    </w:p>
    <w:p w14:paraId="5F881F28" w14:textId="77777777" w:rsidR="00655CBF" w:rsidRDefault="003115D8" w:rsidP="00270A60">
      <w:pPr>
        <w:pStyle w:val="ListParagraph"/>
        <w:numPr>
          <w:ilvl w:val="0"/>
          <w:numId w:val="3"/>
        </w:numPr>
        <w:spacing w:after="0" w:line="240" w:lineRule="auto"/>
        <w:ind w:left="567"/>
        <w:jc w:val="both"/>
      </w:pPr>
      <w:r w:rsidRPr="005433C0">
        <w:t xml:space="preserve">the risk of unintended consequences, </w:t>
      </w:r>
      <w:r w:rsidR="00655CBF">
        <w:t>such as:</w:t>
      </w:r>
    </w:p>
    <w:p w14:paraId="53198091" w14:textId="3BACD467" w:rsidR="00655CBF" w:rsidRDefault="003115D8" w:rsidP="00270A60">
      <w:pPr>
        <w:pStyle w:val="ListParagraph"/>
        <w:numPr>
          <w:ilvl w:val="1"/>
          <w:numId w:val="3"/>
        </w:numPr>
        <w:spacing w:after="0" w:line="240" w:lineRule="auto"/>
        <w:jc w:val="both"/>
      </w:pPr>
      <w:r w:rsidRPr="005433C0">
        <w:lastRenderedPageBreak/>
        <w:t>increased use of A&amp;E</w:t>
      </w:r>
      <w:r w:rsidR="006974EB">
        <w:t xml:space="preserve"> as people seek a source of treatment that does not require a payment</w:t>
      </w:r>
    </w:p>
    <w:p w14:paraId="65EFB54D" w14:textId="16947E24" w:rsidR="00655CBF" w:rsidRDefault="003115D8" w:rsidP="00270A60">
      <w:pPr>
        <w:pStyle w:val="ListParagraph"/>
        <w:numPr>
          <w:ilvl w:val="1"/>
          <w:numId w:val="3"/>
        </w:numPr>
        <w:spacing w:after="0" w:line="240" w:lineRule="auto"/>
        <w:jc w:val="both"/>
      </w:pPr>
      <w:r w:rsidRPr="005433C0">
        <w:t>increased prescribing of more potent</w:t>
      </w:r>
      <w:r w:rsidR="003C45B9">
        <w:t>,</w:t>
      </w:r>
      <w:r w:rsidRPr="005433C0">
        <w:t xml:space="preserve"> </w:t>
      </w:r>
      <w:r w:rsidR="00655CBF">
        <w:t xml:space="preserve">prescription only </w:t>
      </w:r>
      <w:r w:rsidRPr="005433C0">
        <w:t>items</w:t>
      </w:r>
      <w:r w:rsidR="003C45B9">
        <w:t>,</w:t>
      </w:r>
      <w:r w:rsidR="00655CBF">
        <w:t xml:space="preserve"> as a replacement for previo</w:t>
      </w:r>
      <w:r w:rsidR="003C45B9">
        <w:t>us prescribing of OTC medicines</w:t>
      </w:r>
    </w:p>
    <w:p w14:paraId="7AC828F9" w14:textId="3512A2E9" w:rsidR="000D1E66" w:rsidRDefault="00655CBF" w:rsidP="00270A60">
      <w:pPr>
        <w:pStyle w:val="ListParagraph"/>
        <w:numPr>
          <w:ilvl w:val="1"/>
          <w:numId w:val="3"/>
        </w:numPr>
        <w:spacing w:after="0" w:line="240" w:lineRule="auto"/>
        <w:jc w:val="both"/>
      </w:pPr>
      <w:r>
        <w:t xml:space="preserve">the </w:t>
      </w:r>
      <w:r w:rsidR="003C45B9">
        <w:t xml:space="preserve">values and beliefs of patients that lead to them </w:t>
      </w:r>
      <w:r>
        <w:t xml:space="preserve">questioning the </w:t>
      </w:r>
      <w:r w:rsidR="003C45B9">
        <w:t>efficacy of OTC medicines</w:t>
      </w:r>
      <w:r w:rsidR="003115D8" w:rsidRPr="005433C0">
        <w:t xml:space="preserve">, reducing </w:t>
      </w:r>
      <w:r>
        <w:t xml:space="preserve">their </w:t>
      </w:r>
      <w:r w:rsidR="003115D8" w:rsidRPr="005433C0">
        <w:t>willingness to self-care</w:t>
      </w:r>
    </w:p>
    <w:p w14:paraId="1F2C96CC" w14:textId="77777777" w:rsidR="000D1E66" w:rsidRDefault="003115D8" w:rsidP="00270A60">
      <w:pPr>
        <w:pStyle w:val="ListParagraph"/>
        <w:numPr>
          <w:ilvl w:val="0"/>
          <w:numId w:val="3"/>
        </w:numPr>
        <w:spacing w:after="0" w:line="240" w:lineRule="auto"/>
        <w:jc w:val="both"/>
      </w:pPr>
      <w:r w:rsidRPr="000D1E66">
        <w:t>the likely practical challenges</w:t>
      </w:r>
      <w:r w:rsidR="000D1E66">
        <w:t xml:space="preserve"> which will be faced by community pharmacy and general practice teams, such as:</w:t>
      </w:r>
    </w:p>
    <w:p w14:paraId="43E92A0F" w14:textId="509C4D16" w:rsidR="000D1E66" w:rsidRDefault="000D1E66" w:rsidP="00270A60">
      <w:pPr>
        <w:pStyle w:val="ListParagraph"/>
        <w:numPr>
          <w:ilvl w:val="1"/>
          <w:numId w:val="3"/>
        </w:numPr>
        <w:spacing w:after="0" w:line="240" w:lineRule="auto"/>
        <w:jc w:val="both"/>
      </w:pPr>
      <w:r>
        <w:t>the restricted</w:t>
      </w:r>
      <w:r w:rsidR="003115D8" w:rsidRPr="000D1E66">
        <w:t xml:space="preserve"> licensing of </w:t>
      </w:r>
      <w:r>
        <w:t xml:space="preserve">some </w:t>
      </w:r>
      <w:r w:rsidR="003115D8" w:rsidRPr="000D1E66">
        <w:t>OTC med</w:t>
      </w:r>
      <w:r>
        <w:t>icines which mean</w:t>
      </w:r>
      <w:r w:rsidR="003C45B9">
        <w:t>s</w:t>
      </w:r>
      <w:r>
        <w:t xml:space="preserve"> that</w:t>
      </w:r>
      <w:r w:rsidR="003C45B9">
        <w:t>,</w:t>
      </w:r>
      <w:r>
        <w:t xml:space="preserve"> without amendment of marketing authorisations, some OTC medicines may not be sold to patients in the circumstances where GPs have pr</w:t>
      </w:r>
      <w:r w:rsidR="003C45B9">
        <w:t>eviously prescribed the product</w:t>
      </w:r>
    </w:p>
    <w:p w14:paraId="24A8C03E" w14:textId="79BA704C" w:rsidR="000D1E66" w:rsidRDefault="003115D8" w:rsidP="00270A60">
      <w:pPr>
        <w:pStyle w:val="ListParagraph"/>
        <w:numPr>
          <w:ilvl w:val="1"/>
          <w:numId w:val="3"/>
        </w:numPr>
        <w:spacing w:after="0" w:line="240" w:lineRule="auto"/>
        <w:jc w:val="both"/>
      </w:pPr>
      <w:r w:rsidRPr="000D1E66">
        <w:t xml:space="preserve">differentiating between </w:t>
      </w:r>
      <w:r w:rsidR="000D1E66">
        <w:t xml:space="preserve">patients using medicines for </w:t>
      </w:r>
      <w:r w:rsidRPr="000D1E66">
        <w:t>self-limiting</w:t>
      </w:r>
      <w:r w:rsidR="000D1E66">
        <w:t xml:space="preserve"> conditions </w:t>
      </w:r>
      <w:r w:rsidRPr="000D1E66">
        <w:t xml:space="preserve">and </w:t>
      </w:r>
      <w:r w:rsidR="000D1E66">
        <w:t xml:space="preserve">those where they are using the medicine to manage a </w:t>
      </w:r>
      <w:r w:rsidRPr="000D1E66">
        <w:t>chronic</w:t>
      </w:r>
      <w:r w:rsidR="003C45B9">
        <w:t xml:space="preserve"> condition</w:t>
      </w:r>
    </w:p>
    <w:p w14:paraId="4B6BC933" w14:textId="566AAB4F" w:rsidR="00875D3F" w:rsidRDefault="000D1E66" w:rsidP="00270A60">
      <w:pPr>
        <w:pStyle w:val="ListParagraph"/>
        <w:numPr>
          <w:ilvl w:val="1"/>
          <w:numId w:val="3"/>
        </w:numPr>
        <w:spacing w:after="0" w:line="240" w:lineRule="auto"/>
        <w:jc w:val="both"/>
      </w:pPr>
      <w:r>
        <w:t>managing</w:t>
      </w:r>
      <w:r w:rsidR="00801BBA">
        <w:t xml:space="preserve"> </w:t>
      </w:r>
      <w:r w:rsidR="003115D8" w:rsidRPr="000D1E66">
        <w:t xml:space="preserve">patients </w:t>
      </w:r>
      <w:r w:rsidR="00801BBA">
        <w:t>who will need to purchase O</w:t>
      </w:r>
      <w:r w:rsidR="003115D8">
        <w:t>T</w:t>
      </w:r>
      <w:r w:rsidR="00801BBA">
        <w:t xml:space="preserve">C medicines which were previously </w:t>
      </w:r>
      <w:r w:rsidR="00875D3F">
        <w:t>prescribed and included in a multi-compartment compliance aid fil</w:t>
      </w:r>
      <w:r w:rsidR="003C45B9">
        <w:t>led by their community pharmacy</w:t>
      </w:r>
    </w:p>
    <w:p w14:paraId="7441BCB0" w14:textId="5029B0E0" w:rsidR="004022FA" w:rsidRPr="000D1E66" w:rsidRDefault="003C45B9" w:rsidP="00270A60">
      <w:pPr>
        <w:pStyle w:val="ListParagraph"/>
        <w:numPr>
          <w:ilvl w:val="1"/>
          <w:numId w:val="3"/>
        </w:numPr>
        <w:spacing w:after="0" w:line="240" w:lineRule="auto"/>
        <w:jc w:val="both"/>
      </w:pPr>
      <w:r>
        <w:t xml:space="preserve">the </w:t>
      </w:r>
      <w:r w:rsidR="003115D8" w:rsidRPr="000D1E66">
        <w:t>increased workload</w:t>
      </w:r>
      <w:r w:rsidR="00875D3F">
        <w:t>, in particular for</w:t>
      </w:r>
      <w:r w:rsidR="003115D8" w:rsidRPr="000D1E66">
        <w:t xml:space="preserve"> pharmacy teams</w:t>
      </w:r>
      <w:r w:rsidR="00875D3F">
        <w:t>,</w:t>
      </w:r>
      <w:r w:rsidR="003115D8" w:rsidRPr="000D1E66">
        <w:t xml:space="preserve"> </w:t>
      </w:r>
      <w:r w:rsidR="00875D3F">
        <w:t>associated with</w:t>
      </w:r>
      <w:r w:rsidR="003115D8" w:rsidRPr="000D1E66">
        <w:t xml:space="preserve"> explaining </w:t>
      </w:r>
      <w:r w:rsidR="00875D3F">
        <w:t xml:space="preserve">to patients </w:t>
      </w:r>
      <w:r w:rsidR="003115D8" w:rsidRPr="000D1E66">
        <w:t xml:space="preserve">why </w:t>
      </w:r>
      <w:r w:rsidR="00875D3F">
        <w:t xml:space="preserve">OTC </w:t>
      </w:r>
      <w:r w:rsidR="003115D8" w:rsidRPr="000D1E66">
        <w:t>products are no longer prescribed</w:t>
      </w:r>
    </w:p>
    <w:p w14:paraId="24761B6D" w14:textId="77777777" w:rsidR="00875D3F" w:rsidRDefault="00875D3F" w:rsidP="00270A60">
      <w:pPr>
        <w:spacing w:after="0" w:line="240" w:lineRule="auto"/>
        <w:ind w:left="-142"/>
        <w:jc w:val="both"/>
      </w:pPr>
    </w:p>
    <w:p w14:paraId="1A668B09" w14:textId="0683AEC8" w:rsidR="00875D3F" w:rsidRDefault="003C45B9" w:rsidP="00270A60">
      <w:pPr>
        <w:spacing w:after="0" w:line="240" w:lineRule="auto"/>
        <w:ind w:left="-142"/>
        <w:jc w:val="both"/>
      </w:pPr>
      <w:r>
        <w:t>CPSC</w:t>
      </w:r>
      <w:r w:rsidR="00875D3F">
        <w:t xml:space="preserve"> recommends that NHS England and NHSCC consider the </w:t>
      </w:r>
      <w:r w:rsidR="003115D8" w:rsidRPr="000D1E66">
        <w:t xml:space="preserve">benefits </w:t>
      </w:r>
      <w:r w:rsidR="00875D3F">
        <w:t xml:space="preserve">that could be seen for patients, general practice and the wider NHS if there was </w:t>
      </w:r>
      <w:r w:rsidR="003115D8" w:rsidRPr="000D1E66">
        <w:t>nation</w:t>
      </w:r>
      <w:r w:rsidR="00875D3F">
        <w:t>wide</w:t>
      </w:r>
      <w:r w:rsidR="003115D8" w:rsidRPr="000D1E66">
        <w:t xml:space="preserve"> coverage of </w:t>
      </w:r>
      <w:r>
        <w:t>community pharmacy provided Minor Ailments S</w:t>
      </w:r>
      <w:r w:rsidR="00875D3F">
        <w:t xml:space="preserve">ervices. Such coverage, </w:t>
      </w:r>
      <w:r w:rsidR="003115D8" w:rsidRPr="000D1E66">
        <w:t xml:space="preserve">potentially restricted to </w:t>
      </w:r>
      <w:r>
        <w:t>all those</w:t>
      </w:r>
      <w:r w:rsidR="003115D8" w:rsidRPr="000D1E66">
        <w:t xml:space="preserve"> </w:t>
      </w:r>
      <w:r>
        <w:t>who</w:t>
      </w:r>
      <w:r w:rsidR="00875D3F">
        <w:t xml:space="preserve"> are currently exempt from prescription charges on income grounds, could help avoid the potential</w:t>
      </w:r>
      <w:r w:rsidR="00F365E7">
        <w:t xml:space="preserve">, </w:t>
      </w:r>
      <w:r w:rsidR="00875D3F">
        <w:t>unintended</w:t>
      </w:r>
      <w:r w:rsidR="00F365E7">
        <w:t>,</w:t>
      </w:r>
      <w:r w:rsidR="00875D3F">
        <w:t xml:space="preserve"> consequences </w:t>
      </w:r>
      <w:r>
        <w:t>resulting from the implement</w:t>
      </w:r>
      <w:r w:rsidR="00F365E7">
        <w:t>at</w:t>
      </w:r>
      <w:r>
        <w:t>ion of</w:t>
      </w:r>
      <w:r w:rsidR="00875D3F">
        <w:t xml:space="preserve"> a blanket ban on </w:t>
      </w:r>
      <w:r w:rsidR="00F365E7">
        <w:t xml:space="preserve">the </w:t>
      </w:r>
      <w:r w:rsidR="00875D3F">
        <w:t xml:space="preserve">prescribing </w:t>
      </w:r>
      <w:r w:rsidR="00F365E7">
        <w:t xml:space="preserve">of </w:t>
      </w:r>
      <w:r w:rsidR="00875D3F">
        <w:t>OTC medicines for some of the most vulnerable groups within society</w:t>
      </w:r>
      <w:r w:rsidR="00F365E7">
        <w:t>, along with the risk that this</w:t>
      </w:r>
      <w:r w:rsidR="00875D3F">
        <w:t xml:space="preserve"> policy could</w:t>
      </w:r>
      <w:r w:rsidR="00F365E7">
        <w:t xml:space="preserve"> thereby</w:t>
      </w:r>
      <w:r w:rsidR="00875D3F">
        <w:t xml:space="preserve"> increase health inequalities.</w:t>
      </w:r>
    </w:p>
    <w:p w14:paraId="5E2CD6F2" w14:textId="77777777" w:rsidR="00270A60" w:rsidRDefault="00270A60" w:rsidP="00270A60">
      <w:pPr>
        <w:spacing w:after="0" w:line="240" w:lineRule="auto"/>
        <w:ind w:left="-142"/>
        <w:jc w:val="both"/>
      </w:pPr>
    </w:p>
    <w:p w14:paraId="7E4B0D33" w14:textId="43D7B820" w:rsidR="005433C0" w:rsidRDefault="00F365E7" w:rsidP="00270A60">
      <w:pPr>
        <w:spacing w:after="0" w:line="240" w:lineRule="auto"/>
        <w:ind w:left="-142"/>
        <w:jc w:val="both"/>
      </w:pPr>
      <w:r>
        <w:t>CPSC</w:t>
      </w:r>
      <w:r w:rsidR="00875D3F">
        <w:t xml:space="preserve"> also recommends that NHS England and NHSCC </w:t>
      </w:r>
      <w:r>
        <w:t xml:space="preserve">should </w:t>
      </w:r>
      <w:r w:rsidR="00875D3F">
        <w:t xml:space="preserve">consider the </w:t>
      </w:r>
      <w:r w:rsidR="00875D3F" w:rsidRPr="000D1E66">
        <w:t xml:space="preserve">benefits </w:t>
      </w:r>
      <w:r w:rsidR="00875D3F">
        <w:t xml:space="preserve">of supporting local discussions between community pharmacy and general practice teams </w:t>
      </w:r>
      <w:r w:rsidR="00725AF7">
        <w:t xml:space="preserve">to </w:t>
      </w:r>
      <w:r>
        <w:t>establish</w:t>
      </w:r>
      <w:r w:rsidR="00725AF7">
        <w:t xml:space="preserve"> f</w:t>
      </w:r>
      <w:r w:rsidR="003115D8" w:rsidRPr="000D1E66">
        <w:t xml:space="preserve">ast-track arrangements </w:t>
      </w:r>
      <w:r>
        <w:t>whereby</w:t>
      </w:r>
      <w:r w:rsidR="00725AF7">
        <w:t xml:space="preserve"> patients </w:t>
      </w:r>
      <w:r>
        <w:t>who</w:t>
      </w:r>
      <w:r w:rsidR="00725AF7">
        <w:t xml:space="preserve"> first seek advice at a pharmacy, but who</w:t>
      </w:r>
      <w:r>
        <w:t>, it is decided by the pharmacist,</w:t>
      </w:r>
      <w:r w:rsidR="00725AF7">
        <w:t xml:space="preserve"> do need to see a member of the general pract</w:t>
      </w:r>
      <w:r>
        <w:t xml:space="preserve">ice team for resolution of the </w:t>
      </w:r>
      <w:r w:rsidR="00725AF7">
        <w:t xml:space="preserve">presenting complaint, can be rapidly referred to the general practice, </w:t>
      </w:r>
      <w:r>
        <w:t>and receive</w:t>
      </w:r>
      <w:r w:rsidR="00725AF7">
        <w:t xml:space="preserve"> a consultation in a timely manner.</w:t>
      </w:r>
    </w:p>
    <w:p w14:paraId="7CE89C9E" w14:textId="02CD48D2" w:rsidR="00270A60" w:rsidRDefault="00270A60" w:rsidP="00270A60">
      <w:pPr>
        <w:spacing w:after="0" w:line="240" w:lineRule="auto"/>
        <w:ind w:left="-142"/>
        <w:jc w:val="both"/>
      </w:pPr>
    </w:p>
    <w:p w14:paraId="186F57AA" w14:textId="63738272" w:rsidR="00270A60" w:rsidRPr="005433C0" w:rsidRDefault="00270A60" w:rsidP="00270A60">
      <w:pPr>
        <w:spacing w:after="0" w:line="240" w:lineRule="auto"/>
        <w:ind w:left="-142"/>
        <w:jc w:val="both"/>
      </w:pPr>
      <w:r>
        <w:t>The proposals for the restriction of prescribing of OTC medicines will need very careful consideration by NHS England and NHSCC</w:t>
      </w:r>
      <w:r w:rsidR="00F365E7">
        <w:t>,</w:t>
      </w:r>
      <w:r>
        <w:t xml:space="preserve"> and PSNC, as the </w:t>
      </w:r>
      <w:r w:rsidR="00F365E7">
        <w:t xml:space="preserve">national </w:t>
      </w:r>
      <w:r>
        <w:t xml:space="preserve">representative </w:t>
      </w:r>
      <w:r w:rsidR="00993A90">
        <w:t>for</w:t>
      </w:r>
      <w:bookmarkStart w:id="0" w:name="_GoBack"/>
      <w:bookmarkEnd w:id="0"/>
      <w:r>
        <w:t xml:space="preserve"> community pharmacy contractors, should be directly involved in those discussions. If it is decided that restrictions should be implemented, there must be a comprehensive implementation plan, developed with the full involvement of community pharmacy</w:t>
      </w:r>
      <w:r w:rsidR="00F26CB9">
        <w:t>.</w:t>
      </w:r>
      <w:r>
        <w:t xml:space="preserve">  </w:t>
      </w:r>
    </w:p>
    <w:sectPr w:rsidR="00270A60" w:rsidRPr="005433C0" w:rsidSect="00270A60">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D0FC1"/>
    <w:multiLevelType w:val="hybridMultilevel"/>
    <w:tmpl w:val="0E26247E"/>
    <w:lvl w:ilvl="0" w:tplc="6B922540">
      <w:start w:val="1"/>
      <w:numFmt w:val="bullet"/>
      <w:lvlText w:val="•"/>
      <w:lvlJc w:val="left"/>
      <w:pPr>
        <w:tabs>
          <w:tab w:val="num" w:pos="720"/>
        </w:tabs>
        <w:ind w:left="720" w:hanging="360"/>
      </w:pPr>
      <w:rPr>
        <w:rFonts w:ascii="Arial" w:hAnsi="Arial" w:hint="default"/>
      </w:rPr>
    </w:lvl>
    <w:lvl w:ilvl="1" w:tplc="78E6B282">
      <w:numFmt w:val="bullet"/>
      <w:lvlText w:val="–"/>
      <w:lvlJc w:val="left"/>
      <w:pPr>
        <w:tabs>
          <w:tab w:val="num" w:pos="1440"/>
        </w:tabs>
        <w:ind w:left="1440" w:hanging="360"/>
      </w:pPr>
      <w:rPr>
        <w:rFonts w:ascii="Arial" w:hAnsi="Arial" w:hint="default"/>
      </w:rPr>
    </w:lvl>
    <w:lvl w:ilvl="2" w:tplc="D2A227B6" w:tentative="1">
      <w:start w:val="1"/>
      <w:numFmt w:val="bullet"/>
      <w:lvlText w:val="•"/>
      <w:lvlJc w:val="left"/>
      <w:pPr>
        <w:tabs>
          <w:tab w:val="num" w:pos="2160"/>
        </w:tabs>
        <w:ind w:left="2160" w:hanging="360"/>
      </w:pPr>
      <w:rPr>
        <w:rFonts w:ascii="Arial" w:hAnsi="Arial" w:hint="default"/>
      </w:rPr>
    </w:lvl>
    <w:lvl w:ilvl="3" w:tplc="CE78867E" w:tentative="1">
      <w:start w:val="1"/>
      <w:numFmt w:val="bullet"/>
      <w:lvlText w:val="•"/>
      <w:lvlJc w:val="left"/>
      <w:pPr>
        <w:tabs>
          <w:tab w:val="num" w:pos="2880"/>
        </w:tabs>
        <w:ind w:left="2880" w:hanging="360"/>
      </w:pPr>
      <w:rPr>
        <w:rFonts w:ascii="Arial" w:hAnsi="Arial" w:hint="default"/>
      </w:rPr>
    </w:lvl>
    <w:lvl w:ilvl="4" w:tplc="07DA871E" w:tentative="1">
      <w:start w:val="1"/>
      <w:numFmt w:val="bullet"/>
      <w:lvlText w:val="•"/>
      <w:lvlJc w:val="left"/>
      <w:pPr>
        <w:tabs>
          <w:tab w:val="num" w:pos="3600"/>
        </w:tabs>
        <w:ind w:left="3600" w:hanging="360"/>
      </w:pPr>
      <w:rPr>
        <w:rFonts w:ascii="Arial" w:hAnsi="Arial" w:hint="default"/>
      </w:rPr>
    </w:lvl>
    <w:lvl w:ilvl="5" w:tplc="1E4834E4" w:tentative="1">
      <w:start w:val="1"/>
      <w:numFmt w:val="bullet"/>
      <w:lvlText w:val="•"/>
      <w:lvlJc w:val="left"/>
      <w:pPr>
        <w:tabs>
          <w:tab w:val="num" w:pos="4320"/>
        </w:tabs>
        <w:ind w:left="4320" w:hanging="360"/>
      </w:pPr>
      <w:rPr>
        <w:rFonts w:ascii="Arial" w:hAnsi="Arial" w:hint="default"/>
      </w:rPr>
    </w:lvl>
    <w:lvl w:ilvl="6" w:tplc="6DC6D540" w:tentative="1">
      <w:start w:val="1"/>
      <w:numFmt w:val="bullet"/>
      <w:lvlText w:val="•"/>
      <w:lvlJc w:val="left"/>
      <w:pPr>
        <w:tabs>
          <w:tab w:val="num" w:pos="5040"/>
        </w:tabs>
        <w:ind w:left="5040" w:hanging="360"/>
      </w:pPr>
      <w:rPr>
        <w:rFonts w:ascii="Arial" w:hAnsi="Arial" w:hint="default"/>
      </w:rPr>
    </w:lvl>
    <w:lvl w:ilvl="7" w:tplc="BAB8AA70" w:tentative="1">
      <w:start w:val="1"/>
      <w:numFmt w:val="bullet"/>
      <w:lvlText w:val="•"/>
      <w:lvlJc w:val="left"/>
      <w:pPr>
        <w:tabs>
          <w:tab w:val="num" w:pos="5760"/>
        </w:tabs>
        <w:ind w:left="5760" w:hanging="360"/>
      </w:pPr>
      <w:rPr>
        <w:rFonts w:ascii="Arial" w:hAnsi="Arial" w:hint="default"/>
      </w:rPr>
    </w:lvl>
    <w:lvl w:ilvl="8" w:tplc="29A4CB94" w:tentative="1">
      <w:start w:val="1"/>
      <w:numFmt w:val="bullet"/>
      <w:lvlText w:val="•"/>
      <w:lvlJc w:val="left"/>
      <w:pPr>
        <w:tabs>
          <w:tab w:val="num" w:pos="6480"/>
        </w:tabs>
        <w:ind w:left="6480" w:hanging="360"/>
      </w:pPr>
      <w:rPr>
        <w:rFonts w:ascii="Arial" w:hAnsi="Arial" w:hint="default"/>
      </w:rPr>
    </w:lvl>
  </w:abstractNum>
  <w:abstractNum w:abstractNumId="1">
    <w:nsid w:val="260A0FFE"/>
    <w:multiLevelType w:val="hybridMultilevel"/>
    <w:tmpl w:val="78746FA8"/>
    <w:lvl w:ilvl="0" w:tplc="E1A2BEB0">
      <w:start w:val="1"/>
      <w:numFmt w:val="bullet"/>
      <w:lvlText w:val="•"/>
      <w:lvlJc w:val="left"/>
      <w:pPr>
        <w:tabs>
          <w:tab w:val="num" w:pos="720"/>
        </w:tabs>
        <w:ind w:left="720" w:hanging="360"/>
      </w:pPr>
      <w:rPr>
        <w:rFonts w:ascii="Arial" w:hAnsi="Arial" w:hint="default"/>
      </w:rPr>
    </w:lvl>
    <w:lvl w:ilvl="1" w:tplc="E1D8A870">
      <w:numFmt w:val="bullet"/>
      <w:lvlText w:val="–"/>
      <w:lvlJc w:val="left"/>
      <w:pPr>
        <w:tabs>
          <w:tab w:val="num" w:pos="1440"/>
        </w:tabs>
        <w:ind w:left="1440" w:hanging="360"/>
      </w:pPr>
      <w:rPr>
        <w:rFonts w:ascii="Arial" w:hAnsi="Arial" w:hint="default"/>
      </w:rPr>
    </w:lvl>
    <w:lvl w:ilvl="2" w:tplc="5E48809A" w:tentative="1">
      <w:start w:val="1"/>
      <w:numFmt w:val="bullet"/>
      <w:lvlText w:val="•"/>
      <w:lvlJc w:val="left"/>
      <w:pPr>
        <w:tabs>
          <w:tab w:val="num" w:pos="2160"/>
        </w:tabs>
        <w:ind w:left="2160" w:hanging="360"/>
      </w:pPr>
      <w:rPr>
        <w:rFonts w:ascii="Arial" w:hAnsi="Arial" w:hint="default"/>
      </w:rPr>
    </w:lvl>
    <w:lvl w:ilvl="3" w:tplc="22F46042" w:tentative="1">
      <w:start w:val="1"/>
      <w:numFmt w:val="bullet"/>
      <w:lvlText w:val="•"/>
      <w:lvlJc w:val="left"/>
      <w:pPr>
        <w:tabs>
          <w:tab w:val="num" w:pos="2880"/>
        </w:tabs>
        <w:ind w:left="2880" w:hanging="360"/>
      </w:pPr>
      <w:rPr>
        <w:rFonts w:ascii="Arial" w:hAnsi="Arial" w:hint="default"/>
      </w:rPr>
    </w:lvl>
    <w:lvl w:ilvl="4" w:tplc="4F0607AC" w:tentative="1">
      <w:start w:val="1"/>
      <w:numFmt w:val="bullet"/>
      <w:lvlText w:val="•"/>
      <w:lvlJc w:val="left"/>
      <w:pPr>
        <w:tabs>
          <w:tab w:val="num" w:pos="3600"/>
        </w:tabs>
        <w:ind w:left="3600" w:hanging="360"/>
      </w:pPr>
      <w:rPr>
        <w:rFonts w:ascii="Arial" w:hAnsi="Arial" w:hint="default"/>
      </w:rPr>
    </w:lvl>
    <w:lvl w:ilvl="5" w:tplc="8F0A0F38" w:tentative="1">
      <w:start w:val="1"/>
      <w:numFmt w:val="bullet"/>
      <w:lvlText w:val="•"/>
      <w:lvlJc w:val="left"/>
      <w:pPr>
        <w:tabs>
          <w:tab w:val="num" w:pos="4320"/>
        </w:tabs>
        <w:ind w:left="4320" w:hanging="360"/>
      </w:pPr>
      <w:rPr>
        <w:rFonts w:ascii="Arial" w:hAnsi="Arial" w:hint="default"/>
      </w:rPr>
    </w:lvl>
    <w:lvl w:ilvl="6" w:tplc="56EC3012" w:tentative="1">
      <w:start w:val="1"/>
      <w:numFmt w:val="bullet"/>
      <w:lvlText w:val="•"/>
      <w:lvlJc w:val="left"/>
      <w:pPr>
        <w:tabs>
          <w:tab w:val="num" w:pos="5040"/>
        </w:tabs>
        <w:ind w:left="5040" w:hanging="360"/>
      </w:pPr>
      <w:rPr>
        <w:rFonts w:ascii="Arial" w:hAnsi="Arial" w:hint="default"/>
      </w:rPr>
    </w:lvl>
    <w:lvl w:ilvl="7" w:tplc="7F88267A" w:tentative="1">
      <w:start w:val="1"/>
      <w:numFmt w:val="bullet"/>
      <w:lvlText w:val="•"/>
      <w:lvlJc w:val="left"/>
      <w:pPr>
        <w:tabs>
          <w:tab w:val="num" w:pos="5760"/>
        </w:tabs>
        <w:ind w:left="5760" w:hanging="360"/>
      </w:pPr>
      <w:rPr>
        <w:rFonts w:ascii="Arial" w:hAnsi="Arial" w:hint="default"/>
      </w:rPr>
    </w:lvl>
    <w:lvl w:ilvl="8" w:tplc="93B639D2" w:tentative="1">
      <w:start w:val="1"/>
      <w:numFmt w:val="bullet"/>
      <w:lvlText w:val="•"/>
      <w:lvlJc w:val="left"/>
      <w:pPr>
        <w:tabs>
          <w:tab w:val="num" w:pos="6480"/>
        </w:tabs>
        <w:ind w:left="6480" w:hanging="360"/>
      </w:pPr>
      <w:rPr>
        <w:rFonts w:ascii="Arial" w:hAnsi="Arial" w:hint="default"/>
      </w:rPr>
    </w:lvl>
  </w:abstractNum>
  <w:abstractNum w:abstractNumId="2">
    <w:nsid w:val="5BE074AC"/>
    <w:multiLevelType w:val="hybridMultilevel"/>
    <w:tmpl w:val="94DEB5C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nsid w:val="666F7238"/>
    <w:multiLevelType w:val="hybridMultilevel"/>
    <w:tmpl w:val="55CABBE0"/>
    <w:lvl w:ilvl="0" w:tplc="017E769A">
      <w:start w:val="1"/>
      <w:numFmt w:val="bullet"/>
      <w:lvlText w:val="–"/>
      <w:lvlJc w:val="left"/>
      <w:pPr>
        <w:tabs>
          <w:tab w:val="num" w:pos="720"/>
        </w:tabs>
        <w:ind w:left="720" w:hanging="360"/>
      </w:pPr>
      <w:rPr>
        <w:rFonts w:ascii="Arial" w:hAnsi="Arial" w:hint="default"/>
      </w:rPr>
    </w:lvl>
    <w:lvl w:ilvl="1" w:tplc="5D20289C">
      <w:start w:val="1"/>
      <w:numFmt w:val="bullet"/>
      <w:lvlText w:val="–"/>
      <w:lvlJc w:val="left"/>
      <w:pPr>
        <w:tabs>
          <w:tab w:val="num" w:pos="1440"/>
        </w:tabs>
        <w:ind w:left="1440" w:hanging="360"/>
      </w:pPr>
      <w:rPr>
        <w:rFonts w:ascii="Arial" w:hAnsi="Arial" w:hint="default"/>
      </w:rPr>
    </w:lvl>
    <w:lvl w:ilvl="2" w:tplc="6C24FA98" w:tentative="1">
      <w:start w:val="1"/>
      <w:numFmt w:val="bullet"/>
      <w:lvlText w:val="–"/>
      <w:lvlJc w:val="left"/>
      <w:pPr>
        <w:tabs>
          <w:tab w:val="num" w:pos="2160"/>
        </w:tabs>
        <w:ind w:left="2160" w:hanging="360"/>
      </w:pPr>
      <w:rPr>
        <w:rFonts w:ascii="Arial" w:hAnsi="Arial" w:hint="default"/>
      </w:rPr>
    </w:lvl>
    <w:lvl w:ilvl="3" w:tplc="31DC4E36" w:tentative="1">
      <w:start w:val="1"/>
      <w:numFmt w:val="bullet"/>
      <w:lvlText w:val="–"/>
      <w:lvlJc w:val="left"/>
      <w:pPr>
        <w:tabs>
          <w:tab w:val="num" w:pos="2880"/>
        </w:tabs>
        <w:ind w:left="2880" w:hanging="360"/>
      </w:pPr>
      <w:rPr>
        <w:rFonts w:ascii="Arial" w:hAnsi="Arial" w:hint="default"/>
      </w:rPr>
    </w:lvl>
    <w:lvl w:ilvl="4" w:tplc="CB0E8760" w:tentative="1">
      <w:start w:val="1"/>
      <w:numFmt w:val="bullet"/>
      <w:lvlText w:val="–"/>
      <w:lvlJc w:val="left"/>
      <w:pPr>
        <w:tabs>
          <w:tab w:val="num" w:pos="3600"/>
        </w:tabs>
        <w:ind w:left="3600" w:hanging="360"/>
      </w:pPr>
      <w:rPr>
        <w:rFonts w:ascii="Arial" w:hAnsi="Arial" w:hint="default"/>
      </w:rPr>
    </w:lvl>
    <w:lvl w:ilvl="5" w:tplc="0D7A6576" w:tentative="1">
      <w:start w:val="1"/>
      <w:numFmt w:val="bullet"/>
      <w:lvlText w:val="–"/>
      <w:lvlJc w:val="left"/>
      <w:pPr>
        <w:tabs>
          <w:tab w:val="num" w:pos="4320"/>
        </w:tabs>
        <w:ind w:left="4320" w:hanging="360"/>
      </w:pPr>
      <w:rPr>
        <w:rFonts w:ascii="Arial" w:hAnsi="Arial" w:hint="default"/>
      </w:rPr>
    </w:lvl>
    <w:lvl w:ilvl="6" w:tplc="FE66495A" w:tentative="1">
      <w:start w:val="1"/>
      <w:numFmt w:val="bullet"/>
      <w:lvlText w:val="–"/>
      <w:lvlJc w:val="left"/>
      <w:pPr>
        <w:tabs>
          <w:tab w:val="num" w:pos="5040"/>
        </w:tabs>
        <w:ind w:left="5040" w:hanging="360"/>
      </w:pPr>
      <w:rPr>
        <w:rFonts w:ascii="Arial" w:hAnsi="Arial" w:hint="default"/>
      </w:rPr>
    </w:lvl>
    <w:lvl w:ilvl="7" w:tplc="687CB5C0" w:tentative="1">
      <w:start w:val="1"/>
      <w:numFmt w:val="bullet"/>
      <w:lvlText w:val="–"/>
      <w:lvlJc w:val="left"/>
      <w:pPr>
        <w:tabs>
          <w:tab w:val="num" w:pos="5760"/>
        </w:tabs>
        <w:ind w:left="5760" w:hanging="360"/>
      </w:pPr>
      <w:rPr>
        <w:rFonts w:ascii="Arial" w:hAnsi="Arial" w:hint="default"/>
      </w:rPr>
    </w:lvl>
    <w:lvl w:ilvl="8" w:tplc="2AAEA4E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F0"/>
    <w:rsid w:val="00082136"/>
    <w:rsid w:val="000D1E66"/>
    <w:rsid w:val="00270A60"/>
    <w:rsid w:val="003115D8"/>
    <w:rsid w:val="00392229"/>
    <w:rsid w:val="003C45B9"/>
    <w:rsid w:val="004022FA"/>
    <w:rsid w:val="00530164"/>
    <w:rsid w:val="005433C0"/>
    <w:rsid w:val="00655CBF"/>
    <w:rsid w:val="006974EB"/>
    <w:rsid w:val="00725AF7"/>
    <w:rsid w:val="007D675F"/>
    <w:rsid w:val="00801BBA"/>
    <w:rsid w:val="00875D3F"/>
    <w:rsid w:val="008D7131"/>
    <w:rsid w:val="00993A90"/>
    <w:rsid w:val="00B255AA"/>
    <w:rsid w:val="00B77A6D"/>
    <w:rsid w:val="00D3663D"/>
    <w:rsid w:val="00D81914"/>
    <w:rsid w:val="00DD71F0"/>
    <w:rsid w:val="00F26CB9"/>
    <w:rsid w:val="00F36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98C9"/>
  <w15:chartTrackingRefBased/>
  <w15:docId w15:val="{E4145CD7-5023-46C4-BC6D-8D3DB082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78277">
      <w:bodyDiv w:val="1"/>
      <w:marLeft w:val="0"/>
      <w:marRight w:val="0"/>
      <w:marTop w:val="0"/>
      <w:marBottom w:val="0"/>
      <w:divBdr>
        <w:top w:val="none" w:sz="0" w:space="0" w:color="auto"/>
        <w:left w:val="none" w:sz="0" w:space="0" w:color="auto"/>
        <w:bottom w:val="none" w:sz="0" w:space="0" w:color="auto"/>
        <w:right w:val="none" w:sz="0" w:space="0" w:color="auto"/>
      </w:divBdr>
      <w:divsChild>
        <w:div w:id="2059276389">
          <w:marLeft w:val="547"/>
          <w:marRight w:val="0"/>
          <w:marTop w:val="154"/>
          <w:marBottom w:val="0"/>
          <w:divBdr>
            <w:top w:val="none" w:sz="0" w:space="0" w:color="auto"/>
            <w:left w:val="none" w:sz="0" w:space="0" w:color="auto"/>
            <w:bottom w:val="none" w:sz="0" w:space="0" w:color="auto"/>
            <w:right w:val="none" w:sz="0" w:space="0" w:color="auto"/>
          </w:divBdr>
        </w:div>
        <w:div w:id="1058170263">
          <w:marLeft w:val="1166"/>
          <w:marRight w:val="0"/>
          <w:marTop w:val="134"/>
          <w:marBottom w:val="0"/>
          <w:divBdr>
            <w:top w:val="none" w:sz="0" w:space="0" w:color="auto"/>
            <w:left w:val="none" w:sz="0" w:space="0" w:color="auto"/>
            <w:bottom w:val="none" w:sz="0" w:space="0" w:color="auto"/>
            <w:right w:val="none" w:sz="0" w:space="0" w:color="auto"/>
          </w:divBdr>
        </w:div>
        <w:div w:id="1031951771">
          <w:marLeft w:val="1166"/>
          <w:marRight w:val="0"/>
          <w:marTop w:val="134"/>
          <w:marBottom w:val="0"/>
          <w:divBdr>
            <w:top w:val="none" w:sz="0" w:space="0" w:color="auto"/>
            <w:left w:val="none" w:sz="0" w:space="0" w:color="auto"/>
            <w:bottom w:val="none" w:sz="0" w:space="0" w:color="auto"/>
            <w:right w:val="none" w:sz="0" w:space="0" w:color="auto"/>
          </w:divBdr>
        </w:div>
        <w:div w:id="448475463">
          <w:marLeft w:val="1166"/>
          <w:marRight w:val="0"/>
          <w:marTop w:val="134"/>
          <w:marBottom w:val="0"/>
          <w:divBdr>
            <w:top w:val="none" w:sz="0" w:space="0" w:color="auto"/>
            <w:left w:val="none" w:sz="0" w:space="0" w:color="auto"/>
            <w:bottom w:val="none" w:sz="0" w:space="0" w:color="auto"/>
            <w:right w:val="none" w:sz="0" w:space="0" w:color="auto"/>
          </w:divBdr>
        </w:div>
      </w:divsChild>
    </w:div>
    <w:div w:id="569847091">
      <w:bodyDiv w:val="1"/>
      <w:marLeft w:val="0"/>
      <w:marRight w:val="0"/>
      <w:marTop w:val="0"/>
      <w:marBottom w:val="0"/>
      <w:divBdr>
        <w:top w:val="none" w:sz="0" w:space="0" w:color="auto"/>
        <w:left w:val="none" w:sz="0" w:space="0" w:color="auto"/>
        <w:bottom w:val="none" w:sz="0" w:space="0" w:color="auto"/>
        <w:right w:val="none" w:sz="0" w:space="0" w:color="auto"/>
      </w:divBdr>
      <w:divsChild>
        <w:div w:id="1790513109">
          <w:marLeft w:val="547"/>
          <w:marRight w:val="0"/>
          <w:marTop w:val="154"/>
          <w:marBottom w:val="0"/>
          <w:divBdr>
            <w:top w:val="none" w:sz="0" w:space="0" w:color="auto"/>
            <w:left w:val="none" w:sz="0" w:space="0" w:color="auto"/>
            <w:bottom w:val="none" w:sz="0" w:space="0" w:color="auto"/>
            <w:right w:val="none" w:sz="0" w:space="0" w:color="auto"/>
          </w:divBdr>
        </w:div>
        <w:div w:id="796026853">
          <w:marLeft w:val="1166"/>
          <w:marRight w:val="0"/>
          <w:marTop w:val="134"/>
          <w:marBottom w:val="0"/>
          <w:divBdr>
            <w:top w:val="none" w:sz="0" w:space="0" w:color="auto"/>
            <w:left w:val="none" w:sz="0" w:space="0" w:color="auto"/>
            <w:bottom w:val="none" w:sz="0" w:space="0" w:color="auto"/>
            <w:right w:val="none" w:sz="0" w:space="0" w:color="auto"/>
          </w:divBdr>
        </w:div>
        <w:div w:id="371273402">
          <w:marLeft w:val="1166"/>
          <w:marRight w:val="0"/>
          <w:marTop w:val="134"/>
          <w:marBottom w:val="0"/>
          <w:divBdr>
            <w:top w:val="none" w:sz="0" w:space="0" w:color="auto"/>
            <w:left w:val="none" w:sz="0" w:space="0" w:color="auto"/>
            <w:bottom w:val="none" w:sz="0" w:space="0" w:color="auto"/>
            <w:right w:val="none" w:sz="0" w:space="0" w:color="auto"/>
          </w:divBdr>
        </w:div>
      </w:divsChild>
    </w:div>
    <w:div w:id="994258942">
      <w:bodyDiv w:val="1"/>
      <w:marLeft w:val="0"/>
      <w:marRight w:val="0"/>
      <w:marTop w:val="0"/>
      <w:marBottom w:val="0"/>
      <w:divBdr>
        <w:top w:val="none" w:sz="0" w:space="0" w:color="auto"/>
        <w:left w:val="none" w:sz="0" w:space="0" w:color="auto"/>
        <w:bottom w:val="none" w:sz="0" w:space="0" w:color="auto"/>
        <w:right w:val="none" w:sz="0" w:space="0" w:color="auto"/>
      </w:divBdr>
      <w:divsChild>
        <w:div w:id="1757051336">
          <w:marLeft w:val="1166"/>
          <w:marRight w:val="0"/>
          <w:marTop w:val="134"/>
          <w:marBottom w:val="0"/>
          <w:divBdr>
            <w:top w:val="none" w:sz="0" w:space="0" w:color="auto"/>
            <w:left w:val="none" w:sz="0" w:space="0" w:color="auto"/>
            <w:bottom w:val="none" w:sz="0" w:space="0" w:color="auto"/>
            <w:right w:val="none" w:sz="0" w:space="0" w:color="auto"/>
          </w:divBdr>
        </w:div>
        <w:div w:id="1201556945">
          <w:marLeft w:val="1166"/>
          <w:marRight w:val="0"/>
          <w:marTop w:val="134"/>
          <w:marBottom w:val="0"/>
          <w:divBdr>
            <w:top w:val="none" w:sz="0" w:space="0" w:color="auto"/>
            <w:left w:val="none" w:sz="0" w:space="0" w:color="auto"/>
            <w:bottom w:val="none" w:sz="0" w:space="0" w:color="auto"/>
            <w:right w:val="none" w:sz="0" w:space="0" w:color="auto"/>
          </w:divBdr>
        </w:div>
        <w:div w:id="18506634">
          <w:marLeft w:val="1166"/>
          <w:marRight w:val="0"/>
          <w:marTop w:val="134"/>
          <w:marBottom w:val="0"/>
          <w:divBdr>
            <w:top w:val="none" w:sz="0" w:space="0" w:color="auto"/>
            <w:left w:val="none" w:sz="0" w:space="0" w:color="auto"/>
            <w:bottom w:val="none" w:sz="0" w:space="0" w:color="auto"/>
            <w:right w:val="none" w:sz="0" w:space="0" w:color="auto"/>
          </w:divBdr>
        </w:div>
      </w:divsChild>
    </w:div>
    <w:div w:id="1377782078">
      <w:bodyDiv w:val="1"/>
      <w:marLeft w:val="0"/>
      <w:marRight w:val="0"/>
      <w:marTop w:val="0"/>
      <w:marBottom w:val="0"/>
      <w:divBdr>
        <w:top w:val="none" w:sz="0" w:space="0" w:color="auto"/>
        <w:left w:val="none" w:sz="0" w:space="0" w:color="auto"/>
        <w:bottom w:val="none" w:sz="0" w:space="0" w:color="auto"/>
        <w:right w:val="none" w:sz="0" w:space="0" w:color="auto"/>
      </w:divBdr>
      <w:divsChild>
        <w:div w:id="612135332">
          <w:marLeft w:val="547"/>
          <w:marRight w:val="0"/>
          <w:marTop w:val="154"/>
          <w:marBottom w:val="0"/>
          <w:divBdr>
            <w:top w:val="none" w:sz="0" w:space="0" w:color="auto"/>
            <w:left w:val="none" w:sz="0" w:space="0" w:color="auto"/>
            <w:bottom w:val="none" w:sz="0" w:space="0" w:color="auto"/>
            <w:right w:val="none" w:sz="0" w:space="0" w:color="auto"/>
          </w:divBdr>
        </w:div>
        <w:div w:id="1204832147">
          <w:marLeft w:val="1166"/>
          <w:marRight w:val="0"/>
          <w:marTop w:val="134"/>
          <w:marBottom w:val="0"/>
          <w:divBdr>
            <w:top w:val="none" w:sz="0" w:space="0" w:color="auto"/>
            <w:left w:val="none" w:sz="0" w:space="0" w:color="auto"/>
            <w:bottom w:val="none" w:sz="0" w:space="0" w:color="auto"/>
            <w:right w:val="none" w:sz="0" w:space="0" w:color="auto"/>
          </w:divBdr>
        </w:div>
        <w:div w:id="1188904606">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909</Words>
  <Characters>5187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Buxton</dc:creator>
  <cp:keywords/>
  <dc:description/>
  <cp:lastModifiedBy>Paul Bennett</cp:lastModifiedBy>
  <cp:revision>2</cp:revision>
  <dcterms:created xsi:type="dcterms:W3CDTF">2017-10-19T16:06:00Z</dcterms:created>
  <dcterms:modified xsi:type="dcterms:W3CDTF">2017-10-19T16:06:00Z</dcterms:modified>
</cp:coreProperties>
</file>