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D707A" w14:paraId="59735499" w14:textId="77777777" w:rsidTr="00FD707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D707A" w14:paraId="4D412C0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D707A" w14:paraId="3B552F29" w14:textId="77777777">
                    <w:trPr>
                      <w:tblCellSpacing w:w="0" w:type="dxa"/>
                      <w:jc w:val="center"/>
                    </w:trPr>
                    <w:tc>
                      <w:tcPr>
                        <w:tcW w:w="3000" w:type="dxa"/>
                        <w:hideMark/>
                      </w:tcPr>
                      <w:p w14:paraId="497F7FC3" w14:textId="652634D0" w:rsidR="00FD707A" w:rsidRDefault="00FD707A" w:rsidP="00FD707A">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DFF1122" w14:textId="77777777" w:rsidR="00FD707A" w:rsidRDefault="00FD707A" w:rsidP="00FD707A">
                  <w:pPr>
                    <w:rPr>
                      <w:rFonts w:ascii="Times New Roman" w:eastAsia="Times New Roman" w:hAnsi="Times New Roman" w:cs="Times New Roman"/>
                      <w:sz w:val="20"/>
                      <w:szCs w:val="20"/>
                    </w:rPr>
                  </w:pPr>
                </w:p>
              </w:tc>
            </w:tr>
            <w:tr w:rsidR="00FD707A" w14:paraId="717866E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D707A" w14:paraId="6E2DB23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594F2A6" w14:textId="08177400" w:rsidR="00FD707A" w:rsidRDefault="00FD707A" w:rsidP="00FD707A">
                        <w:pPr>
                          <w:jc w:val="center"/>
                          <w:rPr>
                            <w:rFonts w:eastAsia="Times New Roman"/>
                          </w:rPr>
                        </w:pPr>
                        <w:r>
                          <w:rPr>
                            <w:rFonts w:eastAsia="Times New Roman"/>
                            <w:noProof/>
                          </w:rPr>
                          <w:drawing>
                            <wp:inline distT="0" distB="0" distL="0" distR="0" wp14:anchorId="28EB4129" wp14:editId="29A3B30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FD707A" w14:paraId="06218835" w14:textId="77777777">
                    <w:trPr>
                      <w:tblCellSpacing w:w="0" w:type="dxa"/>
                    </w:trPr>
                    <w:tc>
                      <w:tcPr>
                        <w:tcW w:w="0" w:type="auto"/>
                        <w:vMerge/>
                        <w:tcBorders>
                          <w:top w:val="nil"/>
                          <w:left w:val="nil"/>
                          <w:bottom w:val="single" w:sz="2" w:space="0" w:color="FFFFFF"/>
                          <w:right w:val="nil"/>
                        </w:tcBorders>
                        <w:vAlign w:val="center"/>
                        <w:hideMark/>
                      </w:tcPr>
                      <w:p w14:paraId="6A1B58DF" w14:textId="77777777" w:rsidR="00FD707A" w:rsidRDefault="00FD707A" w:rsidP="00FD707A">
                        <w:pPr>
                          <w:rPr>
                            <w:rFonts w:eastAsia="Times New Roman"/>
                          </w:rPr>
                        </w:pPr>
                      </w:p>
                    </w:tc>
                    <w:tc>
                      <w:tcPr>
                        <w:tcW w:w="3450" w:type="dxa"/>
                        <w:tcBorders>
                          <w:top w:val="nil"/>
                          <w:left w:val="nil"/>
                          <w:bottom w:val="nil"/>
                          <w:right w:val="nil"/>
                        </w:tcBorders>
                        <w:vAlign w:val="center"/>
                        <w:hideMark/>
                      </w:tcPr>
                      <w:p w14:paraId="362D6251" w14:textId="77777777" w:rsidR="00FD707A" w:rsidRDefault="00FD707A" w:rsidP="00FD707A">
                        <w:pPr>
                          <w:pStyle w:val="Heading1"/>
                          <w:rPr>
                            <w:rFonts w:eastAsia="Times New Roman"/>
                          </w:rPr>
                        </w:pPr>
                        <w:r>
                          <w:rPr>
                            <w:rFonts w:eastAsia="Times New Roman"/>
                          </w:rPr>
                          <w:t>PSNC Newsletter</w:t>
                        </w:r>
                      </w:p>
                    </w:tc>
                  </w:tr>
                  <w:tr w:rsidR="00FD707A" w14:paraId="7923572B" w14:textId="77777777">
                    <w:trPr>
                      <w:tblCellSpacing w:w="0" w:type="dxa"/>
                    </w:trPr>
                    <w:tc>
                      <w:tcPr>
                        <w:tcW w:w="0" w:type="auto"/>
                        <w:vMerge/>
                        <w:tcBorders>
                          <w:top w:val="nil"/>
                          <w:left w:val="nil"/>
                          <w:bottom w:val="single" w:sz="2" w:space="0" w:color="FFFFFF"/>
                          <w:right w:val="nil"/>
                        </w:tcBorders>
                        <w:vAlign w:val="center"/>
                        <w:hideMark/>
                      </w:tcPr>
                      <w:p w14:paraId="4F73175E" w14:textId="77777777" w:rsidR="00FD707A" w:rsidRDefault="00FD707A" w:rsidP="00FD707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D54613F" w14:textId="77777777" w:rsidR="00FD707A" w:rsidRDefault="00FD707A" w:rsidP="00FD707A">
                        <w:pPr>
                          <w:pStyle w:val="Heading2"/>
                          <w:rPr>
                            <w:rFonts w:eastAsia="Times New Roman"/>
                            <w:color w:val="93378A"/>
                          </w:rPr>
                        </w:pPr>
                        <w:r>
                          <w:rPr>
                            <w:rFonts w:eastAsia="Times New Roman"/>
                            <w:color w:val="93378A"/>
                          </w:rPr>
                          <w:t>Monday 25th October 2021</w:t>
                        </w:r>
                      </w:p>
                    </w:tc>
                  </w:tr>
                </w:tbl>
                <w:p w14:paraId="5BD4100B" w14:textId="77777777" w:rsidR="00FD707A" w:rsidRDefault="00FD707A" w:rsidP="00FD707A">
                  <w:pPr>
                    <w:rPr>
                      <w:rFonts w:ascii="Times New Roman" w:eastAsia="Times New Roman" w:hAnsi="Times New Roman" w:cs="Times New Roman"/>
                      <w:sz w:val="20"/>
                      <w:szCs w:val="20"/>
                    </w:rPr>
                  </w:pPr>
                </w:p>
              </w:tc>
            </w:tr>
            <w:tr w:rsidR="00FD707A" w14:paraId="2B9DA05F" w14:textId="77777777">
              <w:tblPrEx>
                <w:shd w:val="clear" w:color="auto" w:fill="auto"/>
              </w:tblPrEx>
              <w:trPr>
                <w:tblCellSpacing w:w="0" w:type="dxa"/>
                <w:jc w:val="center"/>
              </w:trPr>
              <w:tc>
                <w:tcPr>
                  <w:tcW w:w="9000" w:type="dxa"/>
                  <w:hideMark/>
                </w:tcPr>
                <w:p w14:paraId="3310EE95" w14:textId="47157A5C" w:rsidR="00FD707A" w:rsidRDefault="00FD707A" w:rsidP="00FD707A">
                  <w:pPr>
                    <w:rPr>
                      <w:rFonts w:eastAsia="Times New Roman"/>
                    </w:rPr>
                  </w:pPr>
                  <w:r>
                    <w:rPr>
                      <w:rFonts w:eastAsia="Times New Roman"/>
                      <w:noProof/>
                    </w:rPr>
                    <w:drawing>
                      <wp:inline distT="0" distB="0" distL="0" distR="0" wp14:anchorId="642F88C6" wp14:editId="669040D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FD707A" w14:paraId="54F409C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FD707A" w14:paraId="25D79275" w14:textId="77777777">
                    <w:trPr>
                      <w:trHeight w:val="150"/>
                      <w:tblCellSpacing w:w="15" w:type="dxa"/>
                      <w:jc w:val="center"/>
                    </w:trPr>
                    <w:tc>
                      <w:tcPr>
                        <w:tcW w:w="150" w:type="dxa"/>
                        <w:vAlign w:val="center"/>
                        <w:hideMark/>
                      </w:tcPr>
                      <w:p w14:paraId="591E38F9" w14:textId="77777777" w:rsidR="00FD707A" w:rsidRDefault="00FD707A" w:rsidP="00FD707A">
                        <w:pPr>
                          <w:rPr>
                            <w:rFonts w:eastAsia="Times New Roman"/>
                          </w:rPr>
                        </w:pPr>
                      </w:p>
                    </w:tc>
                    <w:tc>
                      <w:tcPr>
                        <w:tcW w:w="8700" w:type="dxa"/>
                        <w:vAlign w:val="center"/>
                        <w:hideMark/>
                      </w:tcPr>
                      <w:p w14:paraId="777C87D6" w14:textId="77777777" w:rsidR="00FD707A" w:rsidRDefault="00FD707A" w:rsidP="00FD707A">
                        <w:pPr>
                          <w:rPr>
                            <w:rFonts w:ascii="Times New Roman" w:eastAsia="Times New Roman" w:hAnsi="Times New Roman" w:cs="Times New Roman"/>
                            <w:sz w:val="20"/>
                            <w:szCs w:val="20"/>
                          </w:rPr>
                        </w:pPr>
                      </w:p>
                    </w:tc>
                    <w:tc>
                      <w:tcPr>
                        <w:tcW w:w="150" w:type="dxa"/>
                        <w:vAlign w:val="center"/>
                        <w:hideMark/>
                      </w:tcPr>
                      <w:p w14:paraId="7F7425B5" w14:textId="77777777" w:rsidR="00FD707A" w:rsidRDefault="00FD707A" w:rsidP="00FD707A">
                        <w:pPr>
                          <w:rPr>
                            <w:rFonts w:ascii="Times New Roman" w:eastAsia="Times New Roman" w:hAnsi="Times New Roman" w:cs="Times New Roman"/>
                            <w:sz w:val="20"/>
                            <w:szCs w:val="20"/>
                          </w:rPr>
                        </w:pPr>
                      </w:p>
                    </w:tc>
                  </w:tr>
                  <w:tr w:rsidR="00FD707A" w14:paraId="20FF70E7" w14:textId="77777777">
                    <w:trPr>
                      <w:tblCellSpacing w:w="15" w:type="dxa"/>
                      <w:jc w:val="center"/>
                    </w:trPr>
                    <w:tc>
                      <w:tcPr>
                        <w:tcW w:w="150" w:type="dxa"/>
                        <w:vAlign w:val="center"/>
                        <w:hideMark/>
                      </w:tcPr>
                      <w:p w14:paraId="5A1A562A" w14:textId="77777777" w:rsidR="00FD707A" w:rsidRDefault="00FD707A" w:rsidP="00FD707A">
                        <w:pPr>
                          <w:rPr>
                            <w:rFonts w:ascii="Times New Roman" w:eastAsia="Times New Roman" w:hAnsi="Times New Roman" w:cs="Times New Roman"/>
                            <w:sz w:val="20"/>
                            <w:szCs w:val="20"/>
                          </w:rPr>
                        </w:pPr>
                      </w:p>
                    </w:tc>
                    <w:tc>
                      <w:tcPr>
                        <w:tcW w:w="8700" w:type="dxa"/>
                        <w:vAlign w:val="center"/>
                        <w:hideMark/>
                      </w:tcPr>
                      <w:p w14:paraId="3F6863EC" w14:textId="77777777"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every Monday, </w:t>
                        </w:r>
                        <w:proofErr w:type="gramStart"/>
                        <w:r>
                          <w:rPr>
                            <w:rFonts w:ascii="Tahoma" w:eastAsia="Times New Roman" w:hAnsi="Tahoma" w:cs="Tahoma"/>
                            <w:color w:val="303030"/>
                            <w:sz w:val="21"/>
                            <w:szCs w:val="21"/>
                          </w:rPr>
                          <w:t>Wednesday</w:t>
                        </w:r>
                        <w:proofErr w:type="gramEnd"/>
                        <w:r>
                          <w:rPr>
                            <w:rFonts w:ascii="Tahoma" w:eastAsia="Times New Roman" w:hAnsi="Tahoma" w:cs="Tahoma"/>
                            <w:color w:val="303030"/>
                            <w:sz w:val="21"/>
                            <w:szCs w:val="21"/>
                          </w:rPr>
                          <w:t> and Friday. It contains important information for those that work in the community pharmacy sector.</w:t>
                        </w:r>
                      </w:p>
                      <w:p w14:paraId="22CE2655" w14:textId="77777777"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E9F0DB1">
                            <v:rect id="_x0000_i1032" style="width:468pt;height:1.5pt" o:hrstd="t" o:hr="t" fillcolor="#a0a0a0" stroked="f"/>
                          </w:pict>
                        </w:r>
                      </w:p>
                      <w:p w14:paraId="59A15D4C" w14:textId="77777777" w:rsidR="00FD707A" w:rsidRDefault="00FD707A" w:rsidP="00FD707A">
                        <w:pPr>
                          <w:pStyle w:val="Heading2"/>
                          <w:rPr>
                            <w:rFonts w:eastAsia="Times New Roman"/>
                          </w:rPr>
                        </w:pPr>
                        <w:r>
                          <w:rPr>
                            <w:rFonts w:eastAsia="Times New Roman"/>
                          </w:rPr>
                          <w:t>In this update: New Hypertension Case-Finding service resources; PQS Aspiration payment deadline; recent PSNC Briefings.</w:t>
                        </w:r>
                      </w:p>
                      <w:p w14:paraId="1E852552" w14:textId="77777777"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DCF926">
                            <v:rect id="_x0000_i1033" style="width:468pt;height:1.5pt" o:hrstd="t" o:hr="t" fillcolor="#a0a0a0" stroked="f"/>
                          </w:pict>
                        </w:r>
                      </w:p>
                      <w:p w14:paraId="74F5862A" w14:textId="77777777" w:rsidR="00FD707A" w:rsidRDefault="00FD707A" w:rsidP="00FD707A">
                        <w:pPr>
                          <w:pStyle w:val="Heading3"/>
                          <w:rPr>
                            <w:rFonts w:eastAsia="Times New Roman"/>
                          </w:rPr>
                        </w:pPr>
                        <w:r>
                          <w:rPr>
                            <w:rFonts w:eastAsia="Times New Roman"/>
                          </w:rPr>
                          <w:t>New Hypertension Case-Finding Service resources published </w:t>
                        </w:r>
                      </w:p>
                      <w:p w14:paraId="0A28EF20" w14:textId="05C4FCD0"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published several additional resources to support community pharmacy contractors who are providing or planning to provide the Hypertension Case-Finding Service, which became a new Advanced service on 1st October 2021: </w:t>
                        </w:r>
                      </w:p>
                      <w:p w14:paraId="5F6A4776" w14:textId="77777777" w:rsidR="00FD707A" w:rsidRDefault="00FD707A" w:rsidP="00FD707A">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A </w:t>
                        </w:r>
                        <w:hyperlink r:id="rId9" w:tgtFrame="_blank" w:history="1">
                          <w:r>
                            <w:rPr>
                              <w:rStyle w:val="Strong"/>
                              <w:rFonts w:ascii="Tahoma" w:eastAsia="Times New Roman" w:hAnsi="Tahoma" w:cs="Tahoma"/>
                              <w:color w:val="4E3487"/>
                              <w:sz w:val="21"/>
                              <w:szCs w:val="21"/>
                            </w:rPr>
                            <w:t>GP letter / email service notification template</w:t>
                          </w:r>
                        </w:hyperlink>
                        <w:r>
                          <w:rPr>
                            <w:rFonts w:ascii="Tahoma" w:eastAsia="Times New Roman" w:hAnsi="Tahoma" w:cs="Tahoma"/>
                            <w:color w:val="303030"/>
                            <w:sz w:val="21"/>
                            <w:szCs w:val="21"/>
                          </w:rPr>
                          <w:t> to support contractors to notify general practice teams that the pharmacy will be providing the service;</w:t>
                        </w:r>
                      </w:p>
                      <w:p w14:paraId="0B44537C" w14:textId="77777777" w:rsidR="00FD707A" w:rsidRDefault="00FD707A" w:rsidP="00FD707A">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A </w:t>
                        </w:r>
                        <w:hyperlink r:id="rId10" w:tgtFrame="_blank" w:history="1">
                          <w:r>
                            <w:rPr>
                              <w:rStyle w:val="Strong"/>
                              <w:rFonts w:ascii="Tahoma" w:eastAsia="Times New Roman" w:hAnsi="Tahoma" w:cs="Tahoma"/>
                              <w:color w:val="4E3487"/>
                              <w:sz w:val="21"/>
                              <w:szCs w:val="21"/>
                            </w:rPr>
                            <w:t>PSNC Briefing for general practice teams</w:t>
                          </w:r>
                        </w:hyperlink>
                        <w:r>
                          <w:rPr>
                            <w:rFonts w:ascii="Tahoma" w:eastAsia="Times New Roman" w:hAnsi="Tahoma" w:cs="Tahoma"/>
                            <w:color w:val="303030"/>
                            <w:sz w:val="21"/>
                            <w:szCs w:val="21"/>
                          </w:rPr>
                          <w:t> to provide information on the new service and to assist contractors to engage with their local general practice colleagues;</w:t>
                        </w:r>
                      </w:p>
                      <w:p w14:paraId="574378D0" w14:textId="77777777" w:rsidR="00FD707A" w:rsidRDefault="00FD707A" w:rsidP="00FD707A">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Resources to support with promotion of the service, including a </w:t>
                        </w:r>
                        <w:hyperlink r:id="rId11" w:tgtFrame="_blank" w:history="1">
                          <w:r>
                            <w:rPr>
                              <w:rStyle w:val="Strong"/>
                              <w:rFonts w:ascii="Tahoma" w:eastAsia="Times New Roman" w:hAnsi="Tahoma" w:cs="Tahoma"/>
                              <w:color w:val="4E3487"/>
                              <w:sz w:val="21"/>
                              <w:szCs w:val="21"/>
                            </w:rPr>
                            <w:t>poster</w:t>
                          </w:r>
                        </w:hyperlink>
                        <w:r>
                          <w:rPr>
                            <w:rFonts w:ascii="Tahoma" w:eastAsia="Times New Roman" w:hAnsi="Tahoma" w:cs="Tahoma"/>
                            <w:color w:val="303030"/>
                            <w:sz w:val="21"/>
                            <w:szCs w:val="21"/>
                          </w:rPr>
                          <w:t>, </w:t>
                        </w:r>
                        <w:hyperlink r:id="rId12" w:tgtFrame="_blank" w:history="1">
                          <w:r>
                            <w:rPr>
                              <w:rStyle w:val="Strong"/>
                              <w:rFonts w:ascii="Tahoma" w:eastAsia="Times New Roman" w:hAnsi="Tahoma" w:cs="Tahoma"/>
                              <w:color w:val="4E3487"/>
                              <w:sz w:val="21"/>
                              <w:szCs w:val="21"/>
                            </w:rPr>
                            <w:t>digital marketing materials</w:t>
                          </w:r>
                        </w:hyperlink>
                        <w:r>
                          <w:rPr>
                            <w:rFonts w:ascii="Tahoma" w:eastAsia="Times New Roman" w:hAnsi="Tahoma" w:cs="Tahoma"/>
                            <w:color w:val="303030"/>
                            <w:sz w:val="21"/>
                            <w:szCs w:val="21"/>
                          </w:rPr>
                          <w:t>, </w:t>
                        </w:r>
                        <w:hyperlink r:id="rId13" w:tgtFrame="_blank" w:history="1">
                          <w:r>
                            <w:rPr>
                              <w:rStyle w:val="Strong"/>
                              <w:rFonts w:ascii="Tahoma" w:eastAsia="Times New Roman" w:hAnsi="Tahoma" w:cs="Tahoma"/>
                              <w:color w:val="4E3487"/>
                              <w:sz w:val="21"/>
                              <w:szCs w:val="21"/>
                            </w:rPr>
                            <w:t>small flyers to use on prescription bags</w:t>
                          </w:r>
                        </w:hyperlink>
                        <w:r>
                          <w:rPr>
                            <w:rFonts w:ascii="Tahoma" w:eastAsia="Times New Roman" w:hAnsi="Tahoma" w:cs="Tahoma"/>
                            <w:color w:val="303030"/>
                            <w:sz w:val="21"/>
                            <w:szCs w:val="21"/>
                          </w:rPr>
                          <w:t>, and a </w:t>
                        </w:r>
                        <w:hyperlink r:id="rId14" w:tgtFrame="_blank" w:history="1">
                          <w:r>
                            <w:rPr>
                              <w:rStyle w:val="Strong"/>
                              <w:rFonts w:ascii="Tahoma" w:eastAsia="Times New Roman" w:hAnsi="Tahoma" w:cs="Tahoma"/>
                              <w:color w:val="4E3487"/>
                              <w:sz w:val="21"/>
                              <w:szCs w:val="21"/>
                            </w:rPr>
                            <w:t>template patient leaflet</w:t>
                          </w:r>
                        </w:hyperlink>
                        <w:r>
                          <w:rPr>
                            <w:rFonts w:ascii="Tahoma" w:eastAsia="Times New Roman" w:hAnsi="Tahoma" w:cs="Tahoma"/>
                            <w:color w:val="303030"/>
                            <w:sz w:val="21"/>
                            <w:szCs w:val="21"/>
                          </w:rPr>
                          <w:t>;</w:t>
                        </w:r>
                      </w:p>
                      <w:p w14:paraId="527EA950" w14:textId="77777777" w:rsidR="00FD707A" w:rsidRDefault="00FD707A" w:rsidP="00FD707A">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A reference guide to support with </w:t>
                        </w:r>
                        <w:hyperlink r:id="rId15" w:tgtFrame="_blank" w:history="1">
                          <w:r>
                            <w:rPr>
                              <w:rStyle w:val="Strong"/>
                              <w:rFonts w:ascii="Tahoma" w:eastAsia="Times New Roman" w:hAnsi="Tahoma" w:cs="Tahoma"/>
                              <w:color w:val="4E3487"/>
                              <w:sz w:val="21"/>
                              <w:szCs w:val="21"/>
                            </w:rPr>
                            <w:t>clinic blood pressure checks</w:t>
                          </w:r>
                        </w:hyperlink>
                        <w:r>
                          <w:rPr>
                            <w:rFonts w:ascii="Tahoma" w:eastAsia="Times New Roman" w:hAnsi="Tahoma" w:cs="Tahoma"/>
                            <w:color w:val="303030"/>
                            <w:sz w:val="21"/>
                            <w:szCs w:val="21"/>
                          </w:rPr>
                          <w:t>; and</w:t>
                        </w:r>
                      </w:p>
                      <w:p w14:paraId="60325586" w14:textId="77777777" w:rsidR="00FD707A" w:rsidRDefault="00FD707A" w:rsidP="00FD707A">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A </w:t>
                        </w:r>
                        <w:hyperlink r:id="rId16" w:tgtFrame="_blank" w:history="1">
                          <w:r>
                            <w:rPr>
                              <w:rStyle w:val="Strong"/>
                              <w:rFonts w:ascii="Tahoma" w:eastAsia="Times New Roman" w:hAnsi="Tahoma" w:cs="Tahoma"/>
                              <w:color w:val="4E3487"/>
                              <w:sz w:val="21"/>
                              <w:szCs w:val="21"/>
                            </w:rPr>
                            <w:t>patient leaflet to support the provision of readings</w:t>
                          </w:r>
                        </w:hyperlink>
                        <w:r>
                          <w:rPr>
                            <w:rFonts w:ascii="Tahoma" w:eastAsia="Times New Roman" w:hAnsi="Tahoma" w:cs="Tahoma"/>
                            <w:color w:val="303030"/>
                            <w:sz w:val="21"/>
                            <w:szCs w:val="21"/>
                          </w:rPr>
                          <w:t>.</w:t>
                        </w:r>
                      </w:p>
                      <w:p w14:paraId="0607F25D" w14:textId="77777777" w:rsidR="00FD707A" w:rsidRDefault="00FD707A" w:rsidP="00FD707A">
                        <w:pPr>
                          <w:pStyle w:val="NormalWeb"/>
                          <w:spacing w:line="264" w:lineRule="auto"/>
                          <w:rPr>
                            <w:rFonts w:ascii="Tahoma" w:hAnsi="Tahoma" w:cs="Tahoma"/>
                            <w:color w:val="303030"/>
                            <w:sz w:val="21"/>
                            <w:szCs w:val="21"/>
                          </w:rPr>
                        </w:pPr>
                        <w:r>
                          <w:rPr>
                            <w:rFonts w:ascii="Tahoma" w:hAnsi="Tahoma" w:cs="Tahoma"/>
                            <w:color w:val="303030"/>
                            <w:sz w:val="21"/>
                            <w:szCs w:val="21"/>
                          </w:rPr>
                          <w:t>Contractors can also access our Hypertension Case-Finding service webinar </w:t>
                        </w:r>
                        <w:hyperlink r:id="rId17" w:tgtFrame="_blank" w:history="1">
                          <w:r>
                            <w:rPr>
                              <w:rStyle w:val="Strong"/>
                              <w:rFonts w:ascii="Tahoma" w:hAnsi="Tahoma" w:cs="Tahoma"/>
                              <w:color w:val="4E3487"/>
                              <w:sz w:val="21"/>
                              <w:szCs w:val="21"/>
                            </w:rPr>
                            <w:t>on-demand</w:t>
                          </w:r>
                        </w:hyperlink>
                        <w:r>
                          <w:rPr>
                            <w:rFonts w:ascii="Tahoma" w:hAnsi="Tahoma" w:cs="Tahoma"/>
                            <w:color w:val="303030"/>
                            <w:sz w:val="21"/>
                            <w:szCs w:val="21"/>
                          </w:rPr>
                          <w:t> as well as a range of </w:t>
                        </w:r>
                        <w:hyperlink r:id="rId18" w:tgtFrame="_blank" w:history="1">
                          <w:r>
                            <w:rPr>
                              <w:rStyle w:val="Strong"/>
                              <w:rFonts w:ascii="Tahoma" w:hAnsi="Tahoma" w:cs="Tahoma"/>
                              <w:color w:val="4E3487"/>
                              <w:sz w:val="21"/>
                              <w:szCs w:val="21"/>
                            </w:rPr>
                            <w:t>Frequently Asked Questions</w:t>
                          </w:r>
                        </w:hyperlink>
                        <w:r>
                          <w:rPr>
                            <w:rFonts w:ascii="Tahoma" w:hAnsi="Tahoma" w:cs="Tahoma"/>
                            <w:color w:val="303030"/>
                            <w:sz w:val="21"/>
                            <w:szCs w:val="21"/>
                          </w:rPr>
                          <w:t> which were answered after the webinar.</w:t>
                        </w:r>
                      </w:p>
                      <w:p w14:paraId="79E996D9" w14:textId="77777777" w:rsidR="00FD707A" w:rsidRDefault="00FD707A" w:rsidP="00FD707A">
                        <w:pPr>
                          <w:pStyle w:val="NormalWeb"/>
                          <w:spacing w:line="264" w:lineRule="auto"/>
                          <w:rPr>
                            <w:rFonts w:ascii="Tahoma" w:hAnsi="Tahoma" w:cs="Tahoma"/>
                            <w:color w:val="303030"/>
                            <w:sz w:val="21"/>
                            <w:szCs w:val="21"/>
                          </w:rPr>
                        </w:pPr>
                        <w:r>
                          <w:rPr>
                            <w:rFonts w:ascii="Tahoma" w:hAnsi="Tahoma" w:cs="Tahoma"/>
                            <w:color w:val="303030"/>
                            <w:sz w:val="21"/>
                            <w:szCs w:val="21"/>
                          </w:rPr>
                          <w:t>All of the above resources as well as further information on the service can be found on the </w:t>
                        </w:r>
                        <w:hyperlink r:id="rId19" w:tgtFrame="_blank" w:history="1">
                          <w:r>
                            <w:rPr>
                              <w:rStyle w:val="Hyperlink"/>
                              <w:rFonts w:ascii="Tahoma" w:hAnsi="Tahoma" w:cs="Tahoma"/>
                              <w:b/>
                              <w:bCs/>
                              <w:color w:val="4E3487"/>
                              <w:sz w:val="21"/>
                              <w:szCs w:val="21"/>
                            </w:rPr>
                            <w:t>PSNC Hypertension-Case Finding Service hub page</w:t>
                          </w:r>
                        </w:hyperlink>
                        <w:r>
                          <w:rPr>
                            <w:rFonts w:ascii="Tahoma" w:hAnsi="Tahoma" w:cs="Tahoma"/>
                            <w:color w:val="303030"/>
                            <w:sz w:val="21"/>
                            <w:szCs w:val="21"/>
                          </w:rPr>
                          <w:t>.</w:t>
                        </w:r>
                      </w:p>
                      <w:p w14:paraId="114D0476" w14:textId="77777777"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64EE2F8">
                            <v:rect id="_x0000_i1034" style="width:468pt;height:1.5pt" o:hrstd="t" o:hr="t" fillcolor="#a0a0a0" stroked="f"/>
                          </w:pict>
                        </w:r>
                      </w:p>
                      <w:p w14:paraId="52B0DFA2" w14:textId="77777777" w:rsidR="00FD707A" w:rsidRDefault="00FD707A" w:rsidP="00FD707A">
                        <w:pPr>
                          <w:pStyle w:val="Heading3"/>
                          <w:rPr>
                            <w:rFonts w:eastAsia="Times New Roman"/>
                          </w:rPr>
                        </w:pPr>
                        <w:r>
                          <w:rPr>
                            <w:rFonts w:eastAsia="Times New Roman"/>
                          </w:rPr>
                          <w:t>PQS Aspiration payment deadline</w:t>
                        </w:r>
                      </w:p>
                      <w:p w14:paraId="66802F9A" w14:textId="71236497"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We would like to remind community pharmacy contractors that the deadline to claim an Aspiration payment for the 2021/22 Pharmacy Quality Scheme (PQS) is </w:t>
                        </w:r>
                        <w:r>
                          <w:rPr>
                            <w:rStyle w:val="Strong"/>
                            <w:rFonts w:ascii="Tahoma" w:eastAsia="Times New Roman" w:hAnsi="Tahoma" w:cs="Tahoma"/>
                            <w:color w:val="303030"/>
                            <w:sz w:val="21"/>
                            <w:szCs w:val="21"/>
                          </w:rPr>
                          <w:t>11.59pm on 29th of October 2021</w:t>
                        </w:r>
                        <w:r>
                          <w:rPr>
                            <w:rFonts w:ascii="Tahoma" w:eastAsia="Times New Roman" w:hAnsi="Tahoma" w:cs="Tahoma"/>
                            <w:color w:val="303030"/>
                            <w:sz w:val="21"/>
                            <w:szCs w:val="21"/>
                          </w:rPr>
                          <w:t>. Declarations must be made on the </w:t>
                        </w:r>
                        <w:hyperlink r:id="rId20" w:tgtFrame="_blank" w:history="1">
                          <w:r>
                            <w:rPr>
                              <w:rStyle w:val="Hyperlink"/>
                              <w:rFonts w:ascii="Tahoma" w:eastAsia="Times New Roman" w:hAnsi="Tahoma" w:cs="Tahoma"/>
                              <w:b/>
                              <w:bCs/>
                              <w:color w:val="4E3487"/>
                              <w:sz w:val="21"/>
                              <w:szCs w:val="21"/>
                            </w:rPr>
                            <w:t>Manage Your Service (MYS) portal</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21" w:tgtFrame="_blank" w:history="1">
                          <w:r>
                            <w:rPr>
                              <w:rStyle w:val="Hyperlink"/>
                              <w:rFonts w:ascii="Tahoma" w:eastAsia="Times New Roman" w:hAnsi="Tahoma" w:cs="Tahoma"/>
                              <w:b/>
                              <w:bCs/>
                              <w:color w:val="4E3487"/>
                              <w:sz w:val="21"/>
                              <w:szCs w:val="21"/>
                            </w:rPr>
                            <w:t>Find out how to claim for an Aspiration payment</w:t>
                          </w:r>
                        </w:hyperlink>
                        <w:r>
                          <w:rPr>
                            <w:rFonts w:ascii="Tahoma" w:eastAsia="Times New Roman" w:hAnsi="Tahoma" w:cs="Tahoma"/>
                            <w:color w:val="303030"/>
                            <w:sz w:val="21"/>
                            <w:szCs w:val="21"/>
                          </w:rPr>
                          <w:t xml:space="preserve"> </w:t>
                        </w:r>
                      </w:p>
                      <w:p w14:paraId="5EAF1A69" w14:textId="77777777"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B663ED3">
                            <v:rect id="_x0000_i1035" style="width:468pt;height:1.5pt" o:hrstd="t" o:hr="t" fillcolor="#a0a0a0" stroked="f"/>
                          </w:pict>
                        </w:r>
                      </w:p>
                      <w:p w14:paraId="7E950475" w14:textId="77777777" w:rsidR="00FD707A" w:rsidRDefault="00FD707A" w:rsidP="00FD707A">
                        <w:pPr>
                          <w:pStyle w:val="Heading3"/>
                          <w:rPr>
                            <w:rFonts w:eastAsia="Times New Roman"/>
                          </w:rPr>
                        </w:pPr>
                        <w:r>
                          <w:rPr>
                            <w:rFonts w:eastAsia="Times New Roman"/>
                          </w:rPr>
                          <w:lastRenderedPageBreak/>
                          <w:t>Recent PSNC Briefings</w:t>
                        </w:r>
                      </w:p>
                      <w:p w14:paraId="35D9064C" w14:textId="75D6FB6C" w:rsidR="00FD707A" w:rsidRDefault="00FD707A" w:rsidP="00FD70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team at PSNC regularly issues briefings and factsheets which bring together key information and guidance on current topics. Below we have provided details of those published in the last month. </w:t>
                        </w:r>
                      </w:p>
                      <w:p w14:paraId="61D36CF2" w14:textId="77777777" w:rsidR="00FD707A" w:rsidRDefault="00FD707A" w:rsidP="00FD707A">
                        <w:pPr>
                          <w:pStyle w:val="NormalWeb"/>
                          <w:spacing w:line="264" w:lineRule="auto"/>
                          <w:rPr>
                            <w:rFonts w:ascii="Tahoma" w:hAnsi="Tahoma" w:cs="Tahoma"/>
                            <w:color w:val="303030"/>
                            <w:sz w:val="21"/>
                            <w:szCs w:val="21"/>
                          </w:rPr>
                        </w:pPr>
                        <w:hyperlink r:id="rId22" w:tgtFrame="_blank" w:history="1">
                          <w:r>
                            <w:rPr>
                              <w:rStyle w:val="Hyperlink"/>
                              <w:rFonts w:ascii="Tahoma" w:hAnsi="Tahoma" w:cs="Tahoma"/>
                              <w:b/>
                              <w:bCs/>
                              <w:color w:val="4E3487"/>
                              <w:sz w:val="21"/>
                              <w:szCs w:val="21"/>
                            </w:rPr>
                            <w:t>An update on the five-year deal and CPCF arrangements</w:t>
                          </w:r>
                        </w:hyperlink>
                        <w:r>
                          <w:rPr>
                            <w:rFonts w:ascii="Tahoma" w:hAnsi="Tahoma" w:cs="Tahoma"/>
                            <w:color w:val="303030"/>
                            <w:sz w:val="21"/>
                            <w:szCs w:val="21"/>
                          </w:rPr>
                          <w:br/>
                          <w:t>This briefing and slide deck explain the arrangements for Year Three of the five-year Community Pharmacy Contractual Framework (CPCF) deal to external stakeholders (</w:t>
                        </w:r>
                        <w:proofErr w:type="gramStart"/>
                        <w:r>
                          <w:rPr>
                            <w:rFonts w:ascii="Tahoma" w:hAnsi="Tahoma" w:cs="Tahoma"/>
                            <w:color w:val="303030"/>
                            <w:sz w:val="21"/>
                            <w:szCs w:val="21"/>
                          </w:rPr>
                          <w:t>e.g.</w:t>
                        </w:r>
                        <w:proofErr w:type="gramEnd"/>
                        <w:r>
                          <w:rPr>
                            <w:rFonts w:ascii="Tahoma" w:hAnsi="Tahoma" w:cs="Tahoma"/>
                            <w:color w:val="303030"/>
                            <w:sz w:val="21"/>
                            <w:szCs w:val="21"/>
                          </w:rPr>
                          <w:t xml:space="preserve"> charities, local politicians, or wider healthcare professionals). </w:t>
                        </w:r>
                      </w:p>
                      <w:p w14:paraId="070769DE" w14:textId="77777777" w:rsidR="00FD707A" w:rsidRDefault="00FD707A" w:rsidP="00FD707A">
                        <w:pPr>
                          <w:pStyle w:val="NormalWeb"/>
                          <w:spacing w:line="264" w:lineRule="auto"/>
                          <w:rPr>
                            <w:rFonts w:ascii="Tahoma" w:hAnsi="Tahoma" w:cs="Tahoma"/>
                            <w:color w:val="303030"/>
                            <w:sz w:val="21"/>
                            <w:szCs w:val="21"/>
                          </w:rPr>
                        </w:pPr>
                        <w:hyperlink r:id="rId23" w:tgtFrame="_blank" w:history="1">
                          <w:r>
                            <w:rPr>
                              <w:rStyle w:val="Hyperlink"/>
                              <w:rFonts w:ascii="Tahoma" w:hAnsi="Tahoma" w:cs="Tahoma"/>
                              <w:b/>
                              <w:bCs/>
                              <w:color w:val="4E3487"/>
                              <w:sz w:val="21"/>
                              <w:szCs w:val="21"/>
                            </w:rPr>
                            <w:t>Pharmaceutical Needs Assessments Guidance for LPCs</w:t>
                          </w:r>
                        </w:hyperlink>
                        <w:r>
                          <w:rPr>
                            <w:rFonts w:ascii="Tahoma" w:hAnsi="Tahoma" w:cs="Tahoma"/>
                            <w:color w:val="303030"/>
                            <w:sz w:val="21"/>
                            <w:szCs w:val="21"/>
                          </w:rPr>
                          <w:br/>
                          <w:t>Updated guidance on Pharmaceutical Needs Assessments (PNAs) for LPC Chief Officers and their teams.</w:t>
                        </w:r>
                      </w:p>
                    </w:tc>
                    <w:tc>
                      <w:tcPr>
                        <w:tcW w:w="150" w:type="dxa"/>
                        <w:vAlign w:val="center"/>
                        <w:hideMark/>
                      </w:tcPr>
                      <w:p w14:paraId="427516FB" w14:textId="77777777" w:rsidR="00FD707A" w:rsidRDefault="00FD707A" w:rsidP="00FD707A">
                        <w:pPr>
                          <w:rPr>
                            <w:rFonts w:ascii="Tahoma" w:hAnsi="Tahoma" w:cs="Tahoma"/>
                            <w:color w:val="303030"/>
                            <w:sz w:val="21"/>
                            <w:szCs w:val="21"/>
                          </w:rPr>
                        </w:pPr>
                      </w:p>
                    </w:tc>
                  </w:tr>
                  <w:tr w:rsidR="00FD707A" w14:paraId="202A144F" w14:textId="77777777">
                    <w:trPr>
                      <w:trHeight w:val="150"/>
                      <w:tblCellSpacing w:w="15" w:type="dxa"/>
                      <w:jc w:val="center"/>
                    </w:trPr>
                    <w:tc>
                      <w:tcPr>
                        <w:tcW w:w="150" w:type="dxa"/>
                        <w:vAlign w:val="center"/>
                        <w:hideMark/>
                      </w:tcPr>
                      <w:p w14:paraId="029B1FF8" w14:textId="77777777" w:rsidR="00FD707A" w:rsidRDefault="00FD707A" w:rsidP="00FD707A">
                        <w:pPr>
                          <w:rPr>
                            <w:rFonts w:ascii="Times New Roman" w:eastAsia="Times New Roman" w:hAnsi="Times New Roman" w:cs="Times New Roman"/>
                            <w:sz w:val="20"/>
                            <w:szCs w:val="20"/>
                          </w:rPr>
                        </w:pPr>
                      </w:p>
                    </w:tc>
                    <w:tc>
                      <w:tcPr>
                        <w:tcW w:w="8700" w:type="dxa"/>
                        <w:vAlign w:val="center"/>
                        <w:hideMark/>
                      </w:tcPr>
                      <w:p w14:paraId="14261C9A" w14:textId="77777777" w:rsidR="00FD707A" w:rsidRDefault="00FD707A" w:rsidP="00FD707A">
                        <w:pPr>
                          <w:rPr>
                            <w:rFonts w:ascii="Times New Roman" w:eastAsia="Times New Roman" w:hAnsi="Times New Roman" w:cs="Times New Roman"/>
                            <w:sz w:val="20"/>
                            <w:szCs w:val="20"/>
                          </w:rPr>
                        </w:pPr>
                      </w:p>
                    </w:tc>
                    <w:tc>
                      <w:tcPr>
                        <w:tcW w:w="150" w:type="dxa"/>
                        <w:vAlign w:val="center"/>
                        <w:hideMark/>
                      </w:tcPr>
                      <w:p w14:paraId="1523F992" w14:textId="77777777" w:rsidR="00FD707A" w:rsidRDefault="00FD707A" w:rsidP="00FD707A">
                        <w:pPr>
                          <w:rPr>
                            <w:rFonts w:ascii="Times New Roman" w:eastAsia="Times New Roman" w:hAnsi="Times New Roman" w:cs="Times New Roman"/>
                            <w:sz w:val="20"/>
                            <w:szCs w:val="20"/>
                          </w:rPr>
                        </w:pPr>
                      </w:p>
                    </w:tc>
                  </w:tr>
                </w:tbl>
                <w:p w14:paraId="0959CC01" w14:textId="77777777" w:rsidR="00FD707A" w:rsidRDefault="00FD707A" w:rsidP="00FD707A">
                  <w:pPr>
                    <w:rPr>
                      <w:rFonts w:ascii="Times New Roman" w:eastAsia="Times New Roman" w:hAnsi="Times New Roman" w:cs="Times New Roman"/>
                      <w:sz w:val="20"/>
                      <w:szCs w:val="20"/>
                    </w:rPr>
                  </w:pPr>
                </w:p>
              </w:tc>
            </w:tr>
          </w:tbl>
          <w:p w14:paraId="3127A861" w14:textId="77777777" w:rsidR="00FD707A" w:rsidRDefault="00FD707A" w:rsidP="00FD707A">
            <w:pPr>
              <w:rPr>
                <w:rFonts w:ascii="Times New Roman" w:eastAsia="Times New Roman" w:hAnsi="Times New Roman" w:cs="Times New Roman"/>
                <w:sz w:val="20"/>
                <w:szCs w:val="20"/>
              </w:rPr>
            </w:pPr>
          </w:p>
        </w:tc>
      </w:tr>
      <w:tr w:rsidR="00FD707A" w14:paraId="0E9E3467" w14:textId="77777777" w:rsidTr="00FD707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D707A" w14:paraId="2B13908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D707A" w14:paraId="1FA76354" w14:textId="77777777">
                    <w:trPr>
                      <w:tblCellSpacing w:w="0" w:type="dxa"/>
                      <w:jc w:val="center"/>
                    </w:trPr>
                    <w:tc>
                      <w:tcPr>
                        <w:tcW w:w="3000" w:type="dxa"/>
                        <w:tcMar>
                          <w:top w:w="30" w:type="dxa"/>
                          <w:left w:w="75" w:type="dxa"/>
                          <w:bottom w:w="30" w:type="dxa"/>
                          <w:right w:w="75" w:type="dxa"/>
                        </w:tcMar>
                        <w:hideMark/>
                      </w:tcPr>
                      <w:p w14:paraId="388156BC" w14:textId="77777777" w:rsidR="00FD707A" w:rsidRDefault="00FD707A" w:rsidP="00FD707A">
                        <w:pPr>
                          <w:pStyle w:val="Heading4"/>
                          <w:jc w:val="center"/>
                          <w:rPr>
                            <w:rFonts w:eastAsia="Times New Roman"/>
                          </w:rPr>
                        </w:pPr>
                        <w:r>
                          <w:rPr>
                            <w:rFonts w:eastAsia="Times New Roman"/>
                          </w:rPr>
                          <w:lastRenderedPageBreak/>
                          <w:t>Pharmaceutical Services Negotiating Committee</w:t>
                        </w:r>
                      </w:p>
                      <w:p w14:paraId="54E94C61" w14:textId="2B7A4D88" w:rsidR="00FD707A" w:rsidRDefault="00FD707A" w:rsidP="00FD707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C8512B9" wp14:editId="3DA8D9AD">
                              <wp:extent cx="609600" cy="304800"/>
                              <wp:effectExtent l="0" t="0" r="0" b="0"/>
                              <wp:docPr id="5" name="Picture 5">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b/>
                            <w:noProof/>
                            <w:color w:val="FFFFFF"/>
                            <w:sz w:val="18"/>
                            <w:szCs w:val="18"/>
                          </w:rPr>
                          <w:drawing>
                            <wp:inline distT="0" distB="0" distL="0" distR="0" wp14:anchorId="382C169A" wp14:editId="46A5B868">
                              <wp:extent cx="609600" cy="304800"/>
                              <wp:effectExtent l="0" t="0" r="0" b="0"/>
                              <wp:docPr id="4" name="Picture 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b/>
                            <w:noProof/>
                            <w:color w:val="FFFFFF"/>
                            <w:sz w:val="18"/>
                            <w:szCs w:val="18"/>
                          </w:rPr>
                          <w:drawing>
                            <wp:inline distT="0" distB="0" distL="0" distR="0" wp14:anchorId="0E6BF228" wp14:editId="5DEE8ED2">
                              <wp:extent cx="609600" cy="304800"/>
                              <wp:effectExtent l="0" t="0" r="0" b="0"/>
                              <wp:docPr id="3" name="Picture 3">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b/>
                            <w:noProof/>
                            <w:color w:val="FFFFFF"/>
                            <w:sz w:val="18"/>
                            <w:szCs w:val="18"/>
                          </w:rPr>
                          <w:drawing>
                            <wp:inline distT="0" distB="0" distL="0" distR="0" wp14:anchorId="5E35A4B2" wp14:editId="08E7C65F">
                              <wp:extent cx="609600" cy="304800"/>
                              <wp:effectExtent l="0" t="0" r="0" b="0"/>
                              <wp:docPr id="2" name="Picture 2">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p w14:paraId="1523F62A" w14:textId="0DFD2244" w:rsidR="00FD707A" w:rsidRDefault="00FD707A" w:rsidP="00FD707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6" w:tgtFrame="_blank" w:history="1">
                          <w:r>
                            <w:rPr>
                              <w:rStyle w:val="Hyperlink"/>
                              <w:rFonts w:ascii="Tahoma" w:eastAsia="Times New Roman" w:hAnsi="Tahoma" w:cs="Tahoma"/>
                              <w:b/>
                              <w:bCs/>
                              <w:color w:val="FFFFFF"/>
                              <w:sz w:val="18"/>
                              <w:szCs w:val="18"/>
                            </w:rPr>
                            <w:t>info@psnc.org.uk</w:t>
                          </w:r>
                        </w:hyperlink>
                      </w:p>
                    </w:tc>
                  </w:tr>
                  <w:tr w:rsidR="00FD707A" w14:paraId="042B8EDE" w14:textId="77777777" w:rsidTr="00FD707A">
                    <w:trPr>
                      <w:trHeight w:val="53"/>
                      <w:tblCellSpacing w:w="0" w:type="dxa"/>
                      <w:jc w:val="center"/>
                    </w:trPr>
                    <w:tc>
                      <w:tcPr>
                        <w:tcW w:w="9000" w:type="dxa"/>
                        <w:tcMar>
                          <w:top w:w="150" w:type="dxa"/>
                          <w:left w:w="0" w:type="dxa"/>
                          <w:bottom w:w="0" w:type="dxa"/>
                          <w:right w:w="0" w:type="dxa"/>
                        </w:tcMar>
                        <w:vAlign w:val="center"/>
                        <w:hideMark/>
                      </w:tcPr>
                      <w:p w14:paraId="739A5E96" w14:textId="53786721" w:rsidR="00FD707A" w:rsidRDefault="00FD707A" w:rsidP="00FD707A">
                        <w:pPr>
                          <w:jc w:val="center"/>
                          <w:rPr>
                            <w:rFonts w:ascii="Arial" w:eastAsia="Times New Roman" w:hAnsi="Arial" w:cs="Arial"/>
                            <w:color w:val="FFFFFF"/>
                            <w:sz w:val="17"/>
                            <w:szCs w:val="17"/>
                          </w:rPr>
                        </w:pPr>
                      </w:p>
                    </w:tc>
                  </w:tr>
                </w:tbl>
                <w:p w14:paraId="16147D31" w14:textId="77777777" w:rsidR="00FD707A" w:rsidRDefault="00FD707A" w:rsidP="00FD707A">
                  <w:pPr>
                    <w:jc w:val="center"/>
                    <w:rPr>
                      <w:rFonts w:ascii="Times New Roman" w:eastAsia="Times New Roman" w:hAnsi="Times New Roman" w:cs="Times New Roman"/>
                      <w:sz w:val="20"/>
                      <w:szCs w:val="20"/>
                    </w:rPr>
                  </w:pPr>
                </w:p>
              </w:tc>
            </w:tr>
          </w:tbl>
          <w:p w14:paraId="289C48B6" w14:textId="77777777" w:rsidR="00FD707A" w:rsidRDefault="00FD707A" w:rsidP="00FD707A">
            <w:pPr>
              <w:jc w:val="center"/>
              <w:rPr>
                <w:rFonts w:ascii="Times New Roman" w:eastAsia="Times New Roman" w:hAnsi="Times New Roman" w:cs="Times New Roman"/>
                <w:sz w:val="20"/>
                <w:szCs w:val="20"/>
              </w:rPr>
            </w:pPr>
          </w:p>
        </w:tc>
      </w:tr>
    </w:tbl>
    <w:p w14:paraId="664D156E" w14:textId="55E036EF" w:rsidR="00FD707A" w:rsidRDefault="00FD707A" w:rsidP="00FD707A">
      <w:pPr>
        <w:rPr>
          <w:rFonts w:eastAsia="Times New Roman"/>
        </w:rPr>
      </w:pPr>
      <w:r>
        <w:rPr>
          <w:rFonts w:eastAsia="Times New Roman"/>
          <w:noProof/>
        </w:rPr>
        <w:drawing>
          <wp:inline distT="0" distB="0" distL="0" distR="0" wp14:anchorId="4AFC3B65" wp14:editId="7000483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ED6A3D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2E72"/>
    <w:multiLevelType w:val="multilevel"/>
    <w:tmpl w:val="1876D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7A"/>
    <w:rsid w:val="00DD1890"/>
    <w:rsid w:val="00FD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0885"/>
  <w15:chartTrackingRefBased/>
  <w15:docId w15:val="{920F5E4C-CAE6-4D87-A85F-CAA14C5A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7A"/>
    <w:rPr>
      <w:rFonts w:ascii="Calibri" w:hAnsi="Calibri" w:cs="Calibri"/>
      <w:lang w:eastAsia="en-GB"/>
    </w:rPr>
  </w:style>
  <w:style w:type="paragraph" w:styleId="Heading1">
    <w:name w:val="heading 1"/>
    <w:basedOn w:val="Normal"/>
    <w:link w:val="Heading1Char"/>
    <w:uiPriority w:val="9"/>
    <w:qFormat/>
    <w:rsid w:val="00FD707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D707A"/>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D707A"/>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D707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7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D707A"/>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FD707A"/>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FD707A"/>
    <w:rPr>
      <w:rFonts w:ascii="Tahoma" w:hAnsi="Tahoma" w:cs="Tahoma"/>
      <w:b/>
      <w:bCs/>
      <w:color w:val="FFFFFF"/>
      <w:sz w:val="18"/>
      <w:szCs w:val="18"/>
      <w:lang w:eastAsia="en-GB"/>
    </w:rPr>
  </w:style>
  <w:style w:type="paragraph" w:styleId="NormalWeb">
    <w:name w:val="Normal (Web)"/>
    <w:basedOn w:val="Normal"/>
    <w:uiPriority w:val="99"/>
    <w:semiHidden/>
    <w:unhideWhenUsed/>
    <w:rsid w:val="00FD707A"/>
    <w:pPr>
      <w:spacing w:before="100" w:beforeAutospacing="1" w:after="100" w:afterAutospacing="1"/>
    </w:pPr>
  </w:style>
  <w:style w:type="character" w:styleId="Strong">
    <w:name w:val="Strong"/>
    <w:basedOn w:val="DefaultParagraphFont"/>
    <w:uiPriority w:val="22"/>
    <w:qFormat/>
    <w:rsid w:val="00FD707A"/>
    <w:rPr>
      <w:b/>
      <w:bCs/>
    </w:rPr>
  </w:style>
  <w:style w:type="character" w:styleId="Hyperlink">
    <w:name w:val="Hyperlink"/>
    <w:basedOn w:val="DefaultParagraphFont"/>
    <w:uiPriority w:val="99"/>
    <w:semiHidden/>
    <w:unhideWhenUsed/>
    <w:rsid w:val="00FD7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4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edb054b900&amp;e=d19e9fd41c" TargetMode="External"/><Relationship Id="rId18" Type="http://schemas.openxmlformats.org/officeDocument/2006/relationships/hyperlink" Target="https://psnc.us7.list-manage.com/track/click?u=86d41ab7fa4c7c2c5d7210782&amp;id=ff1e90b669&amp;e=d19e9fd41c" TargetMode="External"/><Relationship Id="rId26" Type="http://schemas.openxmlformats.org/officeDocument/2006/relationships/image" Target="https://gallery.mailchimp.com/86d41ab7fa4c7c2c5d7210782/images/5acd9cf1-bdba-4039-b74f-638b444ff5d8.p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f0dcbaa460&amp;e=d19e9fd41c" TargetMode="External"/><Relationship Id="rId34"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47fa47c93d&amp;e=d19e9fd41c" TargetMode="External"/><Relationship Id="rId17" Type="http://schemas.openxmlformats.org/officeDocument/2006/relationships/hyperlink" Target="https://psnc.us7.list-manage.com/track/click?u=86d41ab7fa4c7c2c5d7210782&amp;id=dd89e9d369&amp;e=d19e9fd41c" TargetMode="External"/><Relationship Id="rId25" Type="http://schemas.openxmlformats.org/officeDocument/2006/relationships/image" Target="media/image3.png"/><Relationship Id="rId33" Type="http://schemas.openxmlformats.org/officeDocument/2006/relationships/hyperlink" Target="https://psnc.us7.list-manage.com/track/click?u=86d41ab7fa4c7c2c5d7210782&amp;id=3701185e34&amp;e=d19e9fd41c" TargetMode="External"/><Relationship Id="rId38" Type="http://schemas.openxmlformats.org/officeDocument/2006/relationships/image" Target="https://psnc.us7.list-manage.com/track/open.php?u=86d41ab7fa4c7c2c5d7210782&amp;id=d6641141ad&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6d5c37645b&amp;e=d19e9fd41c" TargetMode="External"/><Relationship Id="rId20" Type="http://schemas.openxmlformats.org/officeDocument/2006/relationships/hyperlink" Target="https://psnc.us7.list-manage.com/track/click?u=86d41ab7fa4c7c2c5d7210782&amp;id=5358c2cad2&amp;e=d19e9fd41c" TargetMode="External"/><Relationship Id="rId29" Type="http://schemas.openxmlformats.org/officeDocument/2006/relationships/image" Target="https://gallery.mailchimp.com/86d41ab7fa4c7c2c5d7210782/images/e1475f6b-1081-4509-ab25-9cd7f83d26b2.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14814605f9&amp;e=d19e9fd41c" TargetMode="External"/><Relationship Id="rId24" Type="http://schemas.openxmlformats.org/officeDocument/2006/relationships/hyperlink" Target="https://psnc.us7.list-manage.com/track/click?u=86d41ab7fa4c7c2c5d7210782&amp;id=ca9a703e1d&amp;e=d19e9fd41c" TargetMode="External"/><Relationship Id="rId32" Type="http://schemas.openxmlformats.org/officeDocument/2006/relationships/image" Target="https://gallery.mailchimp.com/86d41ab7fa4c7c2c5d7210782/images/cd088afd-0ac0-4498-8ed1-e4199bf882ce.png" TargetMode="External"/><Relationship Id="rId37" Type="http://schemas.openxmlformats.org/officeDocument/2006/relationships/image" Target="media/image7.gif"/><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37b7763d8c&amp;e=d19e9fd41c" TargetMode="External"/><Relationship Id="rId23" Type="http://schemas.openxmlformats.org/officeDocument/2006/relationships/hyperlink" Target="https://psnc.us7.list-manage.com/track/click?u=86d41ab7fa4c7c2c5d7210782&amp;id=6bc46f7d36&amp;e=d19e9fd41c" TargetMode="External"/><Relationship Id="rId28" Type="http://schemas.openxmlformats.org/officeDocument/2006/relationships/image" Target="media/image4.png"/><Relationship Id="rId36"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d4ca549769&amp;e=d19e9fd41c" TargetMode="External"/><Relationship Id="rId19" Type="http://schemas.openxmlformats.org/officeDocument/2006/relationships/hyperlink" Target="https://psnc.us7.list-manage.com/track/click?u=86d41ab7fa4c7c2c5d7210782&amp;id=96948c6b39&amp;e=d19e9fd41c"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8c96b023ff&amp;e=d19e9fd41c" TargetMode="External"/><Relationship Id="rId14" Type="http://schemas.openxmlformats.org/officeDocument/2006/relationships/hyperlink" Target="https://psnc.us7.list-manage.com/track/click?u=86d41ab7fa4c7c2c5d7210782&amp;id=3acf64a548&amp;e=d19e9fd41c" TargetMode="External"/><Relationship Id="rId22" Type="http://schemas.openxmlformats.org/officeDocument/2006/relationships/hyperlink" Target="https://psnc.us7.list-manage.com/track/click?u=86d41ab7fa4c7c2c5d7210782&amp;id=afeb43f309&amp;e=d19e9fd41c" TargetMode="External"/><Relationship Id="rId27" Type="http://schemas.openxmlformats.org/officeDocument/2006/relationships/hyperlink" Target="https://psnc.us7.list-manage.com/track/click?u=86d41ab7fa4c7c2c5d7210782&amp;id=c310250c55&amp;e=d19e9fd41c" TargetMode="External"/><Relationship Id="rId30" Type="http://schemas.openxmlformats.org/officeDocument/2006/relationships/hyperlink" Target="https://psnc.us7.list-manage.com/track/click?u=86d41ab7fa4c7c2c5d7210782&amp;id=9c14512cf1&amp;e=d19e9fd41c" TargetMode="External"/><Relationship Id="rId35" Type="http://schemas.openxmlformats.org/officeDocument/2006/relationships/image" Target="https://gallery.mailchimp.com/86d41ab7fa4c7c2c5d7210782/images/f5c0845f-f39c-425d-8d3c-deff11493c5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2021-10-26T07:29:00Z</dcterms:created>
  <dcterms:modified xsi:type="dcterms:W3CDTF">2021-10-26T07:31:00Z</dcterms:modified>
</cp:coreProperties>
</file>